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Allocation Reconciliation</w:t>
      </w:r>
    </w:p>
    <w:p>
      <w:pPr>
        <w:pStyle w:val="Subtitle"/>
      </w:pPr>
      <w:r>
        <w:t>Wrenfield Commons | Decision memo for Edith Nakamura and the Gildenhall Alliance residents’ council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To</w:t>
            </w:r>
          </w:p>
        </w:tc>
        <w:tc>
          <w:tcPr>
            <w:tcW w:type="dxa" w:w="5112"/>
          </w:tcPr>
          <w:p>
            <w:r>
              <w:t>Edith Nakamura; Gildenhall Alliance residents’ council</w:t>
            </w:r>
          </w:p>
        </w:tc>
      </w:tr>
      <w:tr>
        <w:tc>
          <w:tcPr>
            <w:tcW w:type="dxa" w:w="5112"/>
          </w:tcPr>
          <w:p>
            <w:r>
              <w:t>From</w:t>
            </w:r>
          </w:p>
        </w:tc>
        <w:tc>
          <w:tcPr>
            <w:tcW w:type="dxa" w:w="5112"/>
          </w:tcPr>
          <w:p>
            <w:r>
              <w:t>Marisol Draganov, Aldbury Residential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06 January 2026</w:t>
            </w:r>
          </w:p>
        </w:tc>
      </w:tr>
    </w:tbl>
    <w:p>
      <w:pPr>
        <w:pStyle w:val="Heading2"/>
      </w:pPr>
      <w:r>
        <w:t>Decision summary</w:t>
      </w:r>
    </w:p>
    <w:p>
      <w:r>
        <w:t>The review found 3 substantive exceptions in 73 reviewed resident allocation lines: a sample-based exception rate of 4.1%. This is a sample result, not a census. Supporting workpaper: Wrenfield_allocation_reconciliation.xlsx.</w:t>
      </w:r>
    </w:p>
    <w:p>
      <w:pPr>
        <w:pStyle w:val="Heading2"/>
      </w:pPr>
      <w:r>
        <w:t>Scope and method</w:t>
      </w:r>
    </w:p>
    <w:p>
      <w:r>
        <w:t>The population was 7,344 Granthill Bureau resident allocation lines for the twelve master-meter billing months January–December 2025. The authorized basis uses 95% confidence, ±5 percentage-point precision, a 5% expected exception rate, and finite-population correction, producing a 73-line deterministic sample. Lines were SHA-256 ranked with the supplied seed; apartment keys were trimmed and case-folded before the occupancy join.</w:t>
      </w:r>
    </w:p>
    <w:p>
      <w:r>
        <w:t>Source allocated charge was compared with the cents-rounded expected share: source billed invoice amount × occupied unit-days ÷ total occupied unit-days. Differences of $0.01 or less were permitted rounding. Correctly prorated move-outs were valid. A vacant unit charged more than $0.01 was substantive.</w:t>
      </w:r>
    </w:p>
    <w:p>
      <w:pPr>
        <w:pStyle w:val="Heading2"/>
      </w:pPr>
      <w:r>
        <w:t>Results and trace-back</w:t>
      </w:r>
    </w:p>
    <w:p>
      <w:r>
        <w:t>The 73 reviewed lines carried USD 122.55 of source allocated charges. All twelve allocation totals reconcile to invoice totals within authorized rounding. The substantive exceptions are vacant-unit charges, not rounding or valid move-outs. Exception List trace-back IDs: GB-2025-12-A594, GB-2025-05-A033, GB-2025-11-A166. Each row retains unit, billing month, invoice ID, and occupancy/allocation source IDs.</w:t>
      </w:r>
    </w:p>
    <w:p>
      <w:pPr>
        <w:pStyle w:val="Heading2"/>
      </w:pPr>
      <w:r>
        <w:t>Implication and limitation</w:t>
      </w:r>
    </w:p>
    <w:p>
      <w:r>
        <w:t>The evidence shows a real control failure: an occupied share was assigned to a unit recorded as vacant. It does not quantify the full-year affected dollar amount because the review is statistically sampled. Reconciled month totals can mask a misallocation between units.</w:t>
      </w:r>
    </w:p>
    <w:p>
      <w:pPr>
        <w:pStyle w:val="Heading2"/>
      </w:pPr>
      <w:r>
        <w:t>Recommended next action</w:t>
      </w:r>
    </w:p>
    <w:p>
      <w:r>
        <w:t>Do not order a full-year rebill solely from this sample. Edith Nakamura should authorize Ravi Ainsworth to have Granthill Bureau and Brigid Bonneau trace these records and run a targeted census of vacant-unit allocations for all twelve months by Friday noon. Marisol Draganov should return the census, affected-dollar total, and rebill recommendation to Edith and the council; if it confirms broader misallocations, authorize a full-year corrected rebill with resident communications.</w:t>
      </w:r>
    </w:p>
    <w:p>
      <w:pPr>
        <w:pStyle w:val="Caption"/>
      </w:pPr>
      <w:r>
        <w:t>Supporting workpaper: Wrenfield_allocation_reconciliation.xlsx. Source packet: Wrenfield_water_review_packet.xlsx.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