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DECISION MEMORANDUM</w:t>
      </w:r>
    </w:p>
    <w:p>
      <w:pPr>
        <w:pStyle w:val="Subtitle"/>
      </w:pPr>
      <w:r>
        <w:t>AI coding assistant — one-quarter controlled pilot design</w:t>
      </w:r>
    </w:p>
    <w:p>
      <w:pPr>
        <w:spacing w:after="60" w:line="240" w:lineRule="auto"/>
      </w:pPr>
      <w:r>
        <w:t>For: Partners’ meeting, 12 October 2026  |  Sponsor: Maude Waddington  |  Controlled record custodian: Aleksy Yablonski</w:t>
      </w:r>
    </w:p>
    <w:p>
      <w:pPr>
        <w:pStyle w:val="Heading1"/>
      </w:pPr>
      <w:r>
        <w:t>Decision requested</w:t>
      </w:r>
    </w:p>
    <w:p>
      <w:pPr>
        <w:pStyle w:val="Subtitle"/>
      </w:pPr>
      <w:r>
        <w:rPr>
          <w:color w:val="5E6E7A"/>
          <w:sz w:val="18"/>
        </w:rPr>
        <w:t>Approve the protocol and authority boundary; not a product adoption or enterprise-rollout decision.</w:t>
      </w:r>
    </w:p>
    <w:tbl>
      <w:tblPr>
        <w:tblStyle w:val="TableGrid"/>
        <w:tblW w:type="auto" w:w="0"/>
        <w:jc w:val="center"/>
        <w:tblLayout w:type="fixed"/>
        <w:tblLook w:firstColumn="1" w:firstRow="1" w:lastColumn="0" w:lastRow="0" w:noHBand="0" w:noVBand="1" w:val="04A0"/>
      </w:tblPr>
      <w:tblGrid>
        <w:gridCol w:w="5285"/>
        <w:gridCol w:w="5285"/>
      </w:tblGrid>
      <w:tr>
        <w:trPr>
          <w:tblHeader w:val="true"/>
        </w:trPr>
        <w:tc>
          <w:tcPr>
            <w:tcW w:type="dxa" w:w="5040"/>
            <w:shd w:fill="17324D"/>
            <w:vAlign w:val="center"/>
            <w:tcMar>
              <w:top w:w="60" w:type="dxa"/>
              <w:start w:w="70" w:type="dxa"/>
              <w:bottom w:w="60" w:type="dxa"/>
              <w:end w:w="70" w:type="dxa"/>
            </w:tcMar>
          </w:tcPr>
          <w:p>
            <w:pPr>
              <w:spacing w:after="0"/>
            </w:pPr>
            <w:r/>
            <w:r>
              <w:rPr>
                <w:rFonts w:ascii="Aptos" w:hAnsi="Aptos"/>
                <w:b/>
                <w:color w:val="FFFFFF"/>
                <w:sz w:val="16"/>
              </w:rPr>
              <w:t>Approve on 12 October</w:t>
            </w:r>
          </w:p>
        </w:tc>
        <w:tc>
          <w:tcPr>
            <w:tcW w:type="dxa" w:w="5040"/>
            <w:shd w:fill="17324D"/>
            <w:vAlign w:val="center"/>
            <w:tcMar>
              <w:top w:w="60" w:type="dxa"/>
              <w:start w:w="70" w:type="dxa"/>
              <w:bottom w:w="60" w:type="dxa"/>
              <w:end w:w="70" w:type="dxa"/>
            </w:tcMar>
          </w:tcPr>
          <w:p>
            <w:pPr>
              <w:spacing w:after="0"/>
            </w:pPr>
            <w:r/>
            <w:r>
              <w:rPr>
                <w:rFonts w:ascii="Aptos" w:hAnsi="Aptos"/>
                <w:b/>
                <w:color w:val="FFFFFF"/>
                <w:sz w:val="16"/>
              </w:rPr>
              <w:t>Do not approve on 12 October</w:t>
            </w:r>
          </w:p>
        </w:tc>
      </w:tr>
      <w:tr>
        <w:tc>
          <w:tcPr>
            <w:tcW w:type="dxa" w:w="5040"/>
            <w:vAlign w:val="center"/>
            <w:tcMar>
              <w:top w:w="60" w:type="dxa"/>
              <w:start w:w="70" w:type="dxa"/>
              <w:bottom w:w="60" w:type="dxa"/>
              <w:end w:w="70" w:type="dxa"/>
            </w:tcMar>
          </w:tcPr>
          <w:p>
            <w:pPr>
              <w:spacing w:after="0"/>
            </w:pPr>
            <w:r/>
            <w:r>
              <w:rPr>
                <w:rFonts w:ascii="Aptos" w:hAnsi="Aptos"/>
                <w:b w:val="0"/>
                <w:color w:val="22313F"/>
                <w:sz w:val="16"/>
              </w:rPr>
              <w:t>Activate only the defined one-quarter pilot after approval; the protocol, data rules, thresholds, access controls and incident authority below.</w:t>
            </w:r>
          </w:p>
        </w:tc>
        <w:tc>
          <w:tcPr>
            <w:tcW w:type="dxa" w:w="5040"/>
            <w:vAlign w:val="center"/>
            <w:tcMar>
              <w:top w:w="60" w:type="dxa"/>
              <w:start w:w="70" w:type="dxa"/>
              <w:bottom w:w="60" w:type="dxa"/>
              <w:end w:w="70" w:type="dxa"/>
            </w:tcMar>
          </w:tcPr>
          <w:p>
            <w:pPr>
              <w:spacing w:after="0"/>
            </w:pPr>
            <w:r/>
            <w:r>
              <w:rPr>
                <w:rFonts w:ascii="Aptos" w:hAnsi="Aptos"/>
                <w:b w:val="0"/>
                <w:color w:val="22313F"/>
                <w:sz w:val="16"/>
              </w:rPr>
              <w:t>No licences, accounts or treatment access are switched on before approval. Approval creates no commitment to continue, procure, or roll out.</w:t>
            </w:r>
          </w:p>
        </w:tc>
      </w:tr>
    </w:tbl>
    <w:p>
      <w:pPr>
        <w:spacing w:after="0"/>
      </w:pPr>
    </w:p>
    <w:p>
      <w:pPr>
        <w:pStyle w:val="Heading1"/>
      </w:pPr>
      <w:r>
        <w:t>Why this design</w:t>
      </w:r>
    </w:p>
    <w:p>
      <w:pPr>
        <w:spacing w:after="60" w:line="240" w:lineRule="auto"/>
      </w:pPr>
      <w:r>
        <w:t>The eligible population is eleven delivery squads, including teams working on Marlowe Logistics. Delivery conditions differ by developer seniority, client setting and codebase age; developers and repositories can also cross squad boundaries. A raw before/after average would therefore be uninformative. The design uses concurrent, matched assignment clusters plus a baseline-adjusted estimate and records remaining interference and composition changes.</w:t>
      </w:r>
    </w:p>
    <w:p>
      <w:pPr>
        <w:pStyle w:val="Heading1"/>
      </w:pPr>
      <w:r>
        <w:t>Pilot question and fixed estimand</w:t>
      </w:r>
    </w:p>
    <w:p>
      <w:pPr>
        <w:spacing w:after="60" w:line="240" w:lineRule="auto"/>
      </w:pPr>
      <w:r>
        <w:t>Among work completed by the baseline-defined population of the eleven squads, what is the effect during the funded quarter of assignment to governed assistant access, versus no assistant access, on median work-item lead time? The primary estimand is the intention-to-treat, baseline-adjusted difference-in-differences in cluster-week median lead time: (treated pilot − treated pre-pilot) − (control pilot − control pre-pilot), in hours. Negative values are faster. It estimates assignment, not self-selected usage.</w:t>
      </w:r>
    </w:p>
    <w:p>
      <w:pPr>
        <w:pStyle w:val="Heading1"/>
      </w:pPr>
      <w:r>
        <w:t>One-page decision logic</w:t>
      </w:r>
    </w:p>
    <w:tbl>
      <w:tblPr>
        <w:tblStyle w:val="TableGrid"/>
        <w:tblW w:type="auto" w:w="0"/>
        <w:jc w:val="center"/>
        <w:tblLayout w:type="fixed"/>
        <w:tblLook w:firstColumn="1" w:firstRow="1" w:lastColumn="0" w:lastRow="0" w:noHBand="0" w:noVBand="1" w:val="04A0"/>
      </w:tblPr>
      <w:tblGrid>
        <w:gridCol w:w="5285"/>
        <w:gridCol w:w="5285"/>
      </w:tblGrid>
      <w:tr>
        <w:trPr>
          <w:tblHeader w:val="true"/>
        </w:trPr>
        <w:tc>
          <w:tcPr>
            <w:tcW w:type="dxa" w:w="4032"/>
            <w:shd w:fill="17324D"/>
            <w:vAlign w:val="center"/>
            <w:tcMar>
              <w:top w:w="60" w:type="dxa"/>
              <w:start w:w="70" w:type="dxa"/>
              <w:bottom w:w="60" w:type="dxa"/>
              <w:end w:w="70" w:type="dxa"/>
            </w:tcMar>
          </w:tcPr>
          <w:p>
            <w:pPr>
              <w:spacing w:after="0"/>
            </w:pPr>
            <w:r/>
            <w:r>
              <w:rPr>
                <w:rFonts w:ascii="Aptos" w:hAnsi="Aptos"/>
                <w:b/>
                <w:color w:val="FFFFFF"/>
                <w:sz w:val="15"/>
              </w:rPr>
              <w:t>Condition checked in order</w:t>
            </w:r>
          </w:p>
        </w:tc>
        <w:tc>
          <w:tcPr>
            <w:tcW w:type="dxa" w:w="6048"/>
            <w:shd w:fill="17324D"/>
            <w:vAlign w:val="center"/>
            <w:tcMar>
              <w:top w:w="60" w:type="dxa"/>
              <w:start w:w="70" w:type="dxa"/>
              <w:bottom w:w="60" w:type="dxa"/>
              <w:end w:w="70" w:type="dxa"/>
            </w:tcMar>
          </w:tcPr>
          <w:p>
            <w:pPr>
              <w:spacing w:after="0"/>
            </w:pPr>
            <w:r/>
            <w:r>
              <w:rPr>
                <w:rFonts w:ascii="Aptos" w:hAnsi="Aptos"/>
                <w:b/>
                <w:color w:val="FFFFFF"/>
                <w:sz w:val="15"/>
              </w:rPr>
              <w:t>Precommitted disposition</w:t>
            </w:r>
          </w:p>
        </w:tc>
      </w:tr>
      <w:tr>
        <w:tc>
          <w:tcPr>
            <w:tcW w:type="dxa" w:w="4032"/>
            <w:vAlign w:val="center"/>
            <w:tcMar>
              <w:top w:w="60" w:type="dxa"/>
              <w:start w:w="70" w:type="dxa"/>
              <w:bottom w:w="60" w:type="dxa"/>
              <w:end w:w="70" w:type="dxa"/>
            </w:tcMar>
          </w:tcPr>
          <w:p>
            <w:pPr>
              <w:spacing w:after="0"/>
            </w:pPr>
            <w:r/>
            <w:r>
              <w:rPr>
                <w:rFonts w:ascii="Aptos" w:hAnsi="Aptos"/>
                <w:b w:val="0"/>
                <w:color w:val="22313F"/>
                <w:sz w:val="15"/>
              </w:rPr>
              <w:t>Any credible approved-boundary event (threshold: 1)</w:t>
            </w:r>
          </w:p>
        </w:tc>
        <w:tc>
          <w:tcPr>
            <w:tcW w:type="dxa" w:w="6048"/>
            <w:vAlign w:val="center"/>
            <w:tcMar>
              <w:top w:w="60" w:type="dxa"/>
              <w:start w:w="70" w:type="dxa"/>
              <w:bottom w:w="60" w:type="dxa"/>
              <w:end w:w="70" w:type="dxa"/>
            </w:tcMar>
          </w:tcPr>
          <w:p>
            <w:pPr>
              <w:spacing w:after="0"/>
            </w:pPr>
            <w:r/>
            <w:r>
              <w:rPr>
                <w:rFonts w:ascii="Aptos" w:hAnsi="Aptos"/>
                <w:b w:val="0"/>
                <w:color w:val="22313F"/>
                <w:sz w:val="15"/>
              </w:rPr>
              <w:t>Immediate access pause; investigate. It overrides ordinary metrics and is a no-continuation outcome unless partners authorize a documented restart.</w:t>
            </w:r>
          </w:p>
        </w:tc>
      </w:tr>
      <w:tr>
        <w:tc>
          <w:tcPr>
            <w:tcW w:type="dxa" w:w="4032"/>
            <w:shd w:fill="F4F7F9"/>
            <w:vAlign w:val="center"/>
            <w:tcMar>
              <w:top w:w="60" w:type="dxa"/>
              <w:start w:w="70" w:type="dxa"/>
              <w:bottom w:w="60" w:type="dxa"/>
              <w:end w:w="70" w:type="dxa"/>
            </w:tcMar>
          </w:tcPr>
          <w:p>
            <w:pPr>
              <w:spacing w:after="0"/>
            </w:pPr>
            <w:r/>
            <w:r>
              <w:rPr>
                <w:rFonts w:ascii="Aptos" w:hAnsi="Aptos"/>
                <w:b w:val="0"/>
                <w:color w:val="22313F"/>
                <w:sz w:val="15"/>
              </w:rPr>
              <w:t>No severe event, but evidence sufficiency fails</w:t>
            </w:r>
          </w:p>
        </w:tc>
        <w:tc>
          <w:tcPr>
            <w:tcW w:type="dxa" w:w="6048"/>
            <w:shd w:fill="F4F7F9"/>
            <w:vAlign w:val="center"/>
            <w:tcMar>
              <w:top w:w="60" w:type="dxa"/>
              <w:start w:w="70" w:type="dxa"/>
              <w:bottom w:w="60" w:type="dxa"/>
              <w:end w:w="70" w:type="dxa"/>
            </w:tcMar>
          </w:tcPr>
          <w:p>
            <w:pPr>
              <w:spacing w:after="0"/>
            </w:pPr>
            <w:r/>
            <w:r>
              <w:rPr>
                <w:rFonts w:ascii="Aptos" w:hAnsi="Aptos"/>
                <w:b w:val="0"/>
                <w:color w:val="22313F"/>
                <w:sz w:val="15"/>
              </w:rPr>
              <w:t>Non-evaluable — no expansion; close or seek approval for a redesigned evaluation.</w:t>
            </w:r>
          </w:p>
        </w:tc>
      </w:tr>
      <w:tr>
        <w:tc>
          <w:tcPr>
            <w:tcW w:type="dxa" w:w="4032"/>
            <w:vAlign w:val="center"/>
            <w:tcMar>
              <w:top w:w="60" w:type="dxa"/>
              <w:start w:w="70" w:type="dxa"/>
              <w:bottom w:w="60" w:type="dxa"/>
              <w:end w:w="70" w:type="dxa"/>
            </w:tcMar>
          </w:tcPr>
          <w:p>
            <w:pPr>
              <w:spacing w:after="0"/>
            </w:pPr>
            <w:r/>
            <w:r>
              <w:rPr>
                <w:rFonts w:ascii="Aptos" w:hAnsi="Aptos"/>
                <w:b w:val="0"/>
                <w:color w:val="22313F"/>
                <w:sz w:val="15"/>
              </w:rPr>
              <w:t>Evaluable, no guardrail breach, and upper 95% CI for primary effect is ≤ −8.0 hours</w:t>
            </w:r>
          </w:p>
        </w:tc>
        <w:tc>
          <w:tcPr>
            <w:tcW w:type="dxa" w:w="6048"/>
            <w:vAlign w:val="center"/>
            <w:tcMar>
              <w:top w:w="60" w:type="dxa"/>
              <w:start w:w="70" w:type="dxa"/>
              <w:bottom w:w="60" w:type="dxa"/>
              <w:end w:w="70" w:type="dxa"/>
            </w:tcMar>
          </w:tcPr>
          <w:p>
            <w:pPr>
              <w:spacing w:after="0"/>
            </w:pPr>
            <w:r/>
            <w:r>
              <w:rPr>
                <w:rFonts w:ascii="Aptos" w:hAnsi="Aptos"/>
                <w:b w:val="0"/>
                <w:color w:val="22313F"/>
                <w:sz w:val="15"/>
              </w:rPr>
              <w:t>Evidence supports controlled continuation for a separately authorized decision.</w:t>
            </w:r>
          </w:p>
        </w:tc>
      </w:tr>
      <w:tr>
        <w:tc>
          <w:tcPr>
            <w:tcW w:type="dxa" w:w="4032"/>
            <w:shd w:fill="F4F7F9"/>
            <w:vAlign w:val="center"/>
            <w:tcMar>
              <w:top w:w="60" w:type="dxa"/>
              <w:start w:w="70" w:type="dxa"/>
              <w:bottom w:w="60" w:type="dxa"/>
              <w:end w:w="70" w:type="dxa"/>
            </w:tcMar>
          </w:tcPr>
          <w:p>
            <w:pPr>
              <w:spacing w:after="0"/>
            </w:pPr>
            <w:r/>
            <w:r>
              <w:rPr>
                <w:rFonts w:ascii="Aptos" w:hAnsi="Aptos"/>
                <w:b w:val="0"/>
                <w:color w:val="22313F"/>
                <w:sz w:val="15"/>
              </w:rPr>
              <w:t>Evaluable and not the preceding continuation condition</w:t>
            </w:r>
          </w:p>
        </w:tc>
        <w:tc>
          <w:tcPr>
            <w:tcW w:type="dxa" w:w="6048"/>
            <w:shd w:fill="F4F7F9"/>
            <w:vAlign w:val="center"/>
            <w:tcMar>
              <w:top w:w="60" w:type="dxa"/>
              <w:start w:w="70" w:type="dxa"/>
              <w:bottom w:w="60" w:type="dxa"/>
              <w:end w:w="70" w:type="dxa"/>
            </w:tcMar>
          </w:tcPr>
          <w:p>
            <w:pPr>
              <w:spacing w:after="0"/>
            </w:pPr>
            <w:r/>
            <w:r>
              <w:rPr>
                <w:rFonts w:ascii="Aptos" w:hAnsi="Aptos"/>
                <w:b w:val="0"/>
                <w:color w:val="22313F"/>
                <w:sz w:val="15"/>
              </w:rPr>
              <w:t>Evidence supports no continuation.</w:t>
            </w:r>
          </w:p>
        </w:tc>
      </w:tr>
    </w:tbl>
    <w:p>
      <w:pPr>
        <w:spacing w:after="0"/>
      </w:pPr>
    </w:p>
    <w:p>
      <w:pPr>
        <w:spacing w:after="60" w:line="240" w:lineRule="auto"/>
      </w:pPr>
      <w:r>
        <w:t>All numerical thresholds in this record are decision variables approved before activation; none is a historical result, vendor quotation, client saving or pilot result.</w:t>
      </w:r>
    </w:p>
    <w:p>
      <w:r>
        <w:br w:type="page"/>
      </w:r>
    </w:p>
    <w:p>
      <w:pPr>
        <w:pStyle w:val="Heading1"/>
      </w:pPr>
      <w:r>
        <w:t>1. Population, periods and assignment</w:t>
      </w:r>
    </w:p>
    <w:tbl>
      <w:tblPr>
        <w:tblStyle w:val="TableGrid"/>
        <w:tblW w:type="auto" w:w="0"/>
        <w:jc w:val="center"/>
        <w:tblLayout w:type="fixed"/>
        <w:tblLook w:firstColumn="1" w:firstRow="1" w:lastColumn="0" w:lastRow="0" w:noHBand="0" w:noVBand="1" w:val="04A0"/>
      </w:tblPr>
      <w:tblGrid>
        <w:gridCol w:w="5285"/>
        <w:gridCol w:w="5285"/>
      </w:tblGrid>
      <w:tr>
        <w:trPr>
          <w:tblHeader w:val="true"/>
        </w:trPr>
        <w:tc>
          <w:tcPr>
            <w:tcW w:type="dxa" w:w="2376"/>
            <w:shd w:fill="17324D"/>
            <w:vAlign w:val="center"/>
            <w:tcMar>
              <w:top w:w="60" w:type="dxa"/>
              <w:start w:w="70" w:type="dxa"/>
              <w:bottom w:w="60" w:type="dxa"/>
              <w:end w:w="70" w:type="dxa"/>
            </w:tcMar>
          </w:tcPr>
          <w:p>
            <w:pPr>
              <w:spacing w:after="0"/>
            </w:pPr>
            <w:r/>
            <w:r>
              <w:rPr>
                <w:rFonts w:ascii="Aptos" w:hAnsi="Aptos"/>
                <w:b/>
                <w:color w:val="FFFFFF"/>
                <w:sz w:val="14"/>
              </w:rPr>
              <w:t>Item</w:t>
            </w:r>
          </w:p>
        </w:tc>
        <w:tc>
          <w:tcPr>
            <w:tcW w:type="dxa" w:w="7704"/>
            <w:shd w:fill="17324D"/>
            <w:vAlign w:val="center"/>
            <w:tcMar>
              <w:top w:w="60" w:type="dxa"/>
              <w:start w:w="70" w:type="dxa"/>
              <w:bottom w:w="60" w:type="dxa"/>
              <w:end w:w="70" w:type="dxa"/>
            </w:tcMar>
          </w:tcPr>
          <w:p>
            <w:pPr>
              <w:spacing w:after="0"/>
            </w:pPr>
            <w:r/>
            <w:r>
              <w:rPr>
                <w:rFonts w:ascii="Aptos" w:hAnsi="Aptos"/>
                <w:b/>
                <w:color w:val="FFFFFF"/>
                <w:sz w:val="14"/>
              </w:rPr>
              <w:t>Fixed protocol definition</w:t>
            </w:r>
          </w:p>
        </w:tc>
      </w:tr>
      <w:tr>
        <w:tc>
          <w:tcPr>
            <w:tcW w:type="dxa" w:w="2376"/>
            <w:vAlign w:val="center"/>
            <w:tcMar>
              <w:top w:w="60" w:type="dxa"/>
              <w:start w:w="70" w:type="dxa"/>
              <w:bottom w:w="60" w:type="dxa"/>
              <w:end w:w="70" w:type="dxa"/>
            </w:tcMar>
          </w:tcPr>
          <w:p>
            <w:pPr>
              <w:spacing w:after="0"/>
            </w:pPr>
            <w:r/>
            <w:r>
              <w:rPr>
                <w:rFonts w:ascii="Aptos" w:hAnsi="Aptos"/>
                <w:b w:val="0"/>
                <w:color w:val="22313F"/>
                <w:sz w:val="14"/>
              </w:rPr>
              <w:t>Eligible population</w:t>
            </w:r>
          </w:p>
        </w:tc>
        <w:tc>
          <w:tcPr>
            <w:tcW w:type="dxa" w:w="7704"/>
            <w:vAlign w:val="center"/>
            <w:tcMar>
              <w:top w:w="60" w:type="dxa"/>
              <w:start w:w="70" w:type="dxa"/>
              <w:bottom w:w="60" w:type="dxa"/>
              <w:end w:w="70" w:type="dxa"/>
            </w:tcMar>
          </w:tcPr>
          <w:p>
            <w:pPr>
              <w:spacing w:after="0"/>
            </w:pPr>
            <w:r/>
            <w:r>
              <w:rPr>
                <w:rFonts w:ascii="Aptos" w:hAnsi="Aptos"/>
                <w:b w:val="0"/>
                <w:color w:val="22313F"/>
                <w:sz w:val="14"/>
              </w:rPr>
              <w:t>Eleven delivery squads. Each eligible developer and repository is assigned once to an allocation cluster from the frozen roster/repository map.</w:t>
            </w:r>
          </w:p>
        </w:tc>
      </w:tr>
      <w:tr>
        <w:tc>
          <w:tcPr>
            <w:tcW w:type="dxa" w:w="2376"/>
            <w:shd w:fill="F4F7F9"/>
            <w:vAlign w:val="center"/>
            <w:tcMar>
              <w:top w:w="60" w:type="dxa"/>
              <w:start w:w="70" w:type="dxa"/>
              <w:bottom w:w="60" w:type="dxa"/>
              <w:end w:w="70" w:type="dxa"/>
            </w:tcMar>
          </w:tcPr>
          <w:p>
            <w:pPr>
              <w:spacing w:after="0"/>
            </w:pPr>
            <w:r/>
            <w:r>
              <w:rPr>
                <w:rFonts w:ascii="Aptos" w:hAnsi="Aptos"/>
                <w:b w:val="0"/>
                <w:color w:val="22313F"/>
                <w:sz w:val="14"/>
              </w:rPr>
              <w:t>Ad hoc reset</w:t>
            </w:r>
          </w:p>
        </w:tc>
        <w:tc>
          <w:tcPr>
            <w:tcW w:type="dxa" w:w="7704"/>
            <w:shd w:fill="F4F7F9"/>
            <w:vAlign w:val="center"/>
            <w:tcMar>
              <w:top w:w="60" w:type="dxa"/>
              <w:start w:w="70" w:type="dxa"/>
              <w:bottom w:w="60" w:type="dxa"/>
              <w:end w:w="70" w:type="dxa"/>
            </w:tcMar>
          </w:tcPr>
          <w:p>
            <w:pPr>
              <w:spacing w:after="0"/>
            </w:pPr>
            <w:r/>
            <w:r>
              <w:rPr>
                <w:rFonts w:ascii="Aptos" w:hAnsi="Aptos"/>
                <w:b w:val="0"/>
                <w:color w:val="22313F"/>
                <w:sz w:val="14"/>
              </w:rPr>
              <w:t>By 14 July 2026, inventory prior ad hoc access, remove or disable it, retain only an access-history log, and attest the reset. A squad without a confirmed reset is not activated.</w:t>
            </w:r>
          </w:p>
        </w:tc>
      </w:tr>
      <w:tr>
        <w:tc>
          <w:tcPr>
            <w:tcW w:type="dxa" w:w="2376"/>
            <w:vAlign w:val="center"/>
            <w:tcMar>
              <w:top w:w="60" w:type="dxa"/>
              <w:start w:w="70" w:type="dxa"/>
              <w:bottom w:w="60" w:type="dxa"/>
              <w:end w:w="70" w:type="dxa"/>
            </w:tcMar>
          </w:tcPr>
          <w:p>
            <w:pPr>
              <w:spacing w:after="0"/>
            </w:pPr>
            <w:r/>
            <w:r>
              <w:rPr>
                <w:rFonts w:ascii="Aptos" w:hAnsi="Aptos"/>
                <w:b w:val="0"/>
                <w:color w:val="22313F"/>
                <w:sz w:val="14"/>
              </w:rPr>
              <w:t>Pre-pilot comparison</w:t>
            </w:r>
          </w:p>
        </w:tc>
        <w:tc>
          <w:tcPr>
            <w:tcW w:type="dxa" w:w="7704"/>
            <w:vAlign w:val="center"/>
            <w:tcMar>
              <w:top w:w="60" w:type="dxa"/>
              <w:start w:w="70" w:type="dxa"/>
              <w:bottom w:w="60" w:type="dxa"/>
              <w:end w:w="70" w:type="dxa"/>
            </w:tcMar>
          </w:tcPr>
          <w:p>
            <w:pPr>
              <w:spacing w:after="0"/>
            </w:pPr>
            <w:r/>
            <w:r>
              <w:rPr>
                <w:rFonts w:ascii="Aptos" w:hAnsi="Aptos"/>
                <w:b w:val="0"/>
                <w:color w:val="22313F"/>
                <w:sz w:val="14"/>
              </w:rPr>
              <w:t>15 July–11 October 2026. No governed assistant access in either condition; collect baseline outcomes, roster, repository and client-setting data.</w:t>
            </w:r>
          </w:p>
        </w:tc>
      </w:tr>
      <w:tr>
        <w:tc>
          <w:tcPr>
            <w:tcW w:type="dxa" w:w="2376"/>
            <w:shd w:fill="F4F7F9"/>
            <w:vAlign w:val="center"/>
            <w:tcMar>
              <w:top w:w="60" w:type="dxa"/>
              <w:start w:w="70" w:type="dxa"/>
              <w:bottom w:w="60" w:type="dxa"/>
              <w:end w:w="70" w:type="dxa"/>
            </w:tcMar>
          </w:tcPr>
          <w:p>
            <w:pPr>
              <w:spacing w:after="0"/>
            </w:pPr>
            <w:r/>
            <w:r>
              <w:rPr>
                <w:rFonts w:ascii="Aptos" w:hAnsi="Aptos"/>
                <w:b w:val="0"/>
                <w:color w:val="22313F"/>
                <w:sz w:val="14"/>
              </w:rPr>
              <w:t>Approval gate</w:t>
            </w:r>
          </w:p>
        </w:tc>
        <w:tc>
          <w:tcPr>
            <w:tcW w:type="dxa" w:w="7704"/>
            <w:shd w:fill="F4F7F9"/>
            <w:vAlign w:val="center"/>
            <w:tcMar>
              <w:top w:w="60" w:type="dxa"/>
              <w:start w:w="70" w:type="dxa"/>
              <w:bottom w:w="60" w:type="dxa"/>
              <w:end w:w="70" w:type="dxa"/>
            </w:tcMar>
          </w:tcPr>
          <w:p>
            <w:pPr>
              <w:spacing w:after="0"/>
            </w:pPr>
            <w:r/>
            <w:r>
              <w:rPr>
                <w:rFonts w:ascii="Aptos" w:hAnsi="Aptos"/>
                <w:b w:val="0"/>
                <w:color w:val="22313F"/>
                <w:sz w:val="14"/>
              </w:rPr>
              <w:t>Partners approve on 12 October 2026. No treatment access, licence activation, onboarding or vendor connection occurs before that approval.</w:t>
            </w:r>
          </w:p>
        </w:tc>
      </w:tr>
      <w:tr>
        <w:tc>
          <w:tcPr>
            <w:tcW w:type="dxa" w:w="2376"/>
            <w:vAlign w:val="center"/>
            <w:tcMar>
              <w:top w:w="60" w:type="dxa"/>
              <w:start w:w="70" w:type="dxa"/>
              <w:bottom w:w="60" w:type="dxa"/>
              <w:end w:w="70" w:type="dxa"/>
            </w:tcMar>
          </w:tcPr>
          <w:p>
            <w:pPr>
              <w:spacing w:after="0"/>
            </w:pPr>
            <w:r/>
            <w:r>
              <w:rPr>
                <w:rFonts w:ascii="Aptos" w:hAnsi="Aptos"/>
                <w:b w:val="0"/>
                <w:color w:val="22313F"/>
                <w:sz w:val="14"/>
              </w:rPr>
              <w:t>Funded pilot quarter</w:t>
            </w:r>
          </w:p>
        </w:tc>
        <w:tc>
          <w:tcPr>
            <w:tcW w:type="dxa" w:w="7704"/>
            <w:vAlign w:val="center"/>
            <w:tcMar>
              <w:top w:w="60" w:type="dxa"/>
              <w:start w:w="70" w:type="dxa"/>
              <w:bottom w:w="60" w:type="dxa"/>
              <w:end w:w="70" w:type="dxa"/>
            </w:tcMar>
          </w:tcPr>
          <w:p>
            <w:pPr>
              <w:spacing w:after="0"/>
            </w:pPr>
            <w:r/>
            <w:r>
              <w:rPr>
                <w:rFonts w:ascii="Aptos" w:hAnsi="Aptos"/>
                <w:b w:val="0"/>
                <w:color w:val="22313F"/>
                <w:sz w:val="14"/>
              </w:rPr>
              <w:t>13 October 2026–12 January 2027 (one quarter; 92 calendar days). 13 October–9 November is fixed onboarding/ramp-up; 10 November–12 January is steady-state primary window.</w:t>
            </w:r>
          </w:p>
        </w:tc>
      </w:tr>
      <w:tr>
        <w:tc>
          <w:tcPr>
            <w:tcW w:type="dxa" w:w="2376"/>
            <w:shd w:fill="F4F7F9"/>
            <w:vAlign w:val="center"/>
            <w:tcMar>
              <w:top w:w="60" w:type="dxa"/>
              <w:start w:w="70" w:type="dxa"/>
              <w:bottom w:w="60" w:type="dxa"/>
              <w:end w:w="70" w:type="dxa"/>
            </w:tcMar>
          </w:tcPr>
          <w:p>
            <w:pPr>
              <w:spacing w:after="0"/>
            </w:pPr>
            <w:r/>
            <w:r>
              <w:rPr>
                <w:rFonts w:ascii="Aptos" w:hAnsi="Aptos"/>
                <w:b w:val="0"/>
                <w:color w:val="22313F"/>
                <w:sz w:val="14"/>
              </w:rPr>
              <w:t>Analysis unit</w:t>
            </w:r>
          </w:p>
        </w:tc>
        <w:tc>
          <w:tcPr>
            <w:tcW w:type="dxa" w:w="7704"/>
            <w:shd w:fill="F4F7F9"/>
            <w:vAlign w:val="center"/>
            <w:tcMar>
              <w:top w:w="60" w:type="dxa"/>
              <w:start w:w="70" w:type="dxa"/>
              <w:bottom w:w="60" w:type="dxa"/>
              <w:end w:w="70" w:type="dxa"/>
            </w:tcMar>
          </w:tcPr>
          <w:p>
            <w:pPr>
              <w:spacing w:after="0"/>
            </w:pPr>
            <w:r/>
            <w:r>
              <w:rPr>
                <w:rFonts w:ascii="Aptos" w:hAnsi="Aptos"/>
                <w:b w:val="0"/>
                <w:color w:val="22313F"/>
                <w:sz w:val="14"/>
              </w:rPr>
              <w:t>Six allocation clusters, collectively containing all eleven squads. A cluster is the smallest feasible connected work group after mapping shared developers and repositories; it is used because exposure and work spill across individuals/repositories. It is not chosen merely to create more observations.</w:t>
            </w:r>
          </w:p>
        </w:tc>
      </w:tr>
    </w:tbl>
    <w:p>
      <w:pPr>
        <w:spacing w:after="0"/>
      </w:pPr>
    </w:p>
    <w:p>
      <w:pPr>
        <w:pStyle w:val="Heading1"/>
      </w:pPr>
      <w:r>
        <w:t>Allocation and comparability</w:t>
      </w:r>
    </w:p>
    <w:p>
      <w:pPr>
        <w:spacing w:after="60" w:line="240" w:lineRule="auto"/>
      </w:pPr>
      <w:r>
        <w:t>Before activation, the six clusters are paired into three matched pairs using frozen, cluster-level summaries of (a) seniority mix, (b) client setting and permission posture, and (c) median codebase age. Within each pair, one cluster is selected for treatment by a recorded constrained random draw; the other is control. The random draw is conducted by the analysis function before outcomes are viewed. This yields three treated and three control clusters, not treatment for all eleven squads.</w:t>
      </w:r>
    </w:p>
    <w:p>
      <w:pPr>
        <w:spacing w:after="60" w:line="240" w:lineRule="auto"/>
      </w:pPr>
      <w:r>
        <w:t>Balance check: report standardized differences for the three matching factors and baseline lead time. If any absolute standardized difference exceeds 0.25, use the next pre-generated permissible random allocation from the signed randomization list, document it, and rerun the check before activation. If none pass, do not activate under this protocol; report non-evaluable-before-start and return a revised design. Balance reduces—not eliminates—confounding.</w:t>
      </w:r>
    </w:p>
    <w:p>
      <w:pPr>
        <w:pStyle w:val="Heading1"/>
      </w:pPr>
      <w:r>
        <w:t>Access, control and interference</w:t>
      </w:r>
    </w:p>
    <w:tbl>
      <w:tblPr>
        <w:tblStyle w:val="TableGrid"/>
        <w:tblW w:type="auto" w:w="0"/>
        <w:jc w:val="center"/>
        <w:tblLayout w:type="fixed"/>
        <w:tblLook w:firstColumn="1" w:firstRow="1" w:lastColumn="0" w:lastRow="0" w:noHBand="0" w:noVBand="1" w:val="04A0"/>
      </w:tblPr>
      <w:tblGrid>
        <w:gridCol w:w="3523"/>
        <w:gridCol w:w="3523"/>
        <w:gridCol w:w="3523"/>
      </w:tblGrid>
      <w:tr>
        <w:trPr>
          <w:tblHeader w:val="true"/>
        </w:trPr>
        <w:tc>
          <w:tcPr>
            <w:tcW w:type="dxa" w:w="3312"/>
            <w:shd w:fill="17324D"/>
            <w:vAlign w:val="center"/>
            <w:tcMar>
              <w:top w:w="60" w:type="dxa"/>
              <w:start w:w="70" w:type="dxa"/>
              <w:bottom w:w="60" w:type="dxa"/>
              <w:end w:w="70" w:type="dxa"/>
            </w:tcMar>
          </w:tcPr>
          <w:p>
            <w:pPr>
              <w:spacing w:after="0"/>
            </w:pPr>
            <w:r/>
            <w:r>
              <w:rPr>
                <w:rFonts w:ascii="Aptos" w:hAnsi="Aptos"/>
                <w:b/>
                <w:color w:val="FFFFFF"/>
                <w:sz w:val="14"/>
              </w:rPr>
              <w:t>Treatment</w:t>
            </w:r>
          </w:p>
        </w:tc>
        <w:tc>
          <w:tcPr>
            <w:tcW w:type="dxa" w:w="3240"/>
            <w:shd w:fill="17324D"/>
            <w:vAlign w:val="center"/>
            <w:tcMar>
              <w:top w:w="60" w:type="dxa"/>
              <w:start w:w="70" w:type="dxa"/>
              <w:bottom w:w="60" w:type="dxa"/>
              <w:end w:w="70" w:type="dxa"/>
            </w:tcMar>
          </w:tcPr>
          <w:p>
            <w:pPr>
              <w:spacing w:after="0"/>
            </w:pPr>
            <w:r/>
            <w:r>
              <w:rPr>
                <w:rFonts w:ascii="Aptos" w:hAnsi="Aptos"/>
                <w:b/>
                <w:color w:val="FFFFFF"/>
                <w:sz w:val="14"/>
              </w:rPr>
              <w:t>Control</w:t>
            </w:r>
          </w:p>
        </w:tc>
        <w:tc>
          <w:tcPr>
            <w:tcW w:type="dxa" w:w="3528"/>
            <w:shd w:fill="17324D"/>
            <w:vAlign w:val="center"/>
            <w:tcMar>
              <w:top w:w="60" w:type="dxa"/>
              <w:start w:w="70" w:type="dxa"/>
              <w:bottom w:w="60" w:type="dxa"/>
              <w:end w:w="70" w:type="dxa"/>
            </w:tcMar>
          </w:tcPr>
          <w:p>
            <w:pPr>
              <w:spacing w:after="0"/>
            </w:pPr>
            <w:r/>
            <w:r>
              <w:rPr>
                <w:rFonts w:ascii="Aptos" w:hAnsi="Aptos"/>
                <w:b/>
                <w:color w:val="FFFFFF"/>
                <w:sz w:val="14"/>
              </w:rPr>
              <w:t>Contamination record</w:t>
            </w:r>
          </w:p>
        </w:tc>
      </w:tr>
      <w:tr>
        <w:tc>
          <w:tcPr>
            <w:tcW w:type="dxa" w:w="3312"/>
            <w:vAlign w:val="center"/>
            <w:tcMar>
              <w:top w:w="60" w:type="dxa"/>
              <w:start w:w="70" w:type="dxa"/>
              <w:bottom w:w="60" w:type="dxa"/>
              <w:end w:w="70" w:type="dxa"/>
            </w:tcMar>
          </w:tcPr>
          <w:p>
            <w:pPr>
              <w:spacing w:after="0"/>
            </w:pPr>
            <w:r/>
            <w:r>
              <w:rPr>
                <w:rFonts w:ascii="Aptos" w:hAnsi="Aptos"/>
                <w:b w:val="0"/>
                <w:color w:val="22313F"/>
                <w:sz w:val="14"/>
              </w:rPr>
              <w:t>Named users in treated clusters receive least-privilege governed accounts after approval, approved IDE/repository contexts only, training, and policy acknowledgement.</w:t>
            </w:r>
          </w:p>
        </w:tc>
        <w:tc>
          <w:tcPr>
            <w:tcW w:type="dxa" w:w="3240"/>
            <w:vAlign w:val="center"/>
            <w:tcMar>
              <w:top w:w="60" w:type="dxa"/>
              <w:start w:w="70" w:type="dxa"/>
              <w:bottom w:w="60" w:type="dxa"/>
              <w:end w:w="70" w:type="dxa"/>
            </w:tcMar>
          </w:tcPr>
          <w:p>
            <w:pPr>
              <w:spacing w:after="0"/>
            </w:pPr>
            <w:r/>
            <w:r>
              <w:rPr>
                <w:rFonts w:ascii="Aptos" w:hAnsi="Aptos"/>
                <w:b w:val="0"/>
                <w:color w:val="22313F"/>
                <w:sz w:val="14"/>
              </w:rPr>
              <w:t>No assistant account, shared credential, plug-in or copied assistant output is permitted. Access logs are reconciled weekly.</w:t>
            </w:r>
          </w:p>
        </w:tc>
        <w:tc>
          <w:tcPr>
            <w:tcW w:type="dxa" w:w="3528"/>
            <w:vAlign w:val="center"/>
            <w:tcMar>
              <w:top w:w="60" w:type="dxa"/>
              <w:start w:w="70" w:type="dxa"/>
              <w:bottom w:w="60" w:type="dxa"/>
              <w:end w:w="70" w:type="dxa"/>
            </w:tcMar>
          </w:tcPr>
          <w:p>
            <w:pPr>
              <w:spacing w:after="0"/>
            </w:pPr>
            <w:r/>
            <w:r>
              <w:rPr>
                <w:rFonts w:ascii="Aptos" w:hAnsi="Aptos"/>
                <w:b w:val="0"/>
                <w:color w:val="22313F"/>
                <w:sz w:val="14"/>
              </w:rPr>
              <w:t>Weekly record: shared developer, repository, credential, review, copied-output indication, or cross-cluster transfer; date, clusters, resolution. Prevention reduces but cannot rule out contamination.</w:t>
            </w:r>
          </w:p>
        </w:tc>
      </w:tr>
    </w:tbl>
    <w:p>
      <w:pPr>
        <w:spacing w:after="0"/>
      </w:pPr>
    </w:p>
    <w:p>
      <w:pPr>
        <w:spacing w:after="60" w:line="240" w:lineRule="auto"/>
      </w:pPr>
      <w:r>
        <w:t>Meaningful exposure is an implementation measure, not the primary treatment: a named treated user records approved assistant interaction on ≥2 distinct working days and an approved repository-context event during a calendar week. Licence assignment alone is not meaningful use. Exposure/per-protocol views are secondary, flagged for self-selection bias, and never replace intention-to-treat.</w:t>
      </w:r>
    </w:p>
    <w:p>
      <w:r>
        <w:br w:type="page"/>
      </w:r>
    </w:p>
    <w:p>
      <w:pPr>
        <w:pStyle w:val="Heading1"/>
      </w:pPr>
      <w:r>
        <w:t>2. Metric hierarchy and source rules</w:t>
      </w:r>
    </w:p>
    <w:p>
      <w:pPr>
        <w:spacing w:after="60" w:line="240" w:lineRule="auto"/>
      </w:pPr>
      <w:r>
        <w:t>Only the primary outcome can satisfy the benefit test. Secondary metrics describe mechanisms; diagnostics explain implementation; guardrails constrain continuation. Lines of code, suggestions, acceptance rate and raw output volume are diagnostics only: they do not establish productivity, customer value or individual developer performance.</w:t>
      </w:r>
    </w:p>
    <w:tbl>
      <w:tblPr>
        <w:tblStyle w:val="TableGrid"/>
        <w:tblW w:type="auto" w:w="0"/>
        <w:jc w:val="center"/>
        <w:tblLayout w:type="fixed"/>
        <w:tblLook w:firstColumn="1" w:firstRow="1" w:lastColumn="0" w:lastRow="0" w:noHBand="0" w:noVBand="1" w:val="04A0"/>
      </w:tblPr>
      <w:tblGrid>
        <w:gridCol w:w="5285"/>
        <w:gridCol w:w="5285"/>
      </w:tblGrid>
      <w:tr>
        <w:trPr>
          <w:tblHeader w:val="true"/>
        </w:trPr>
        <w:tc>
          <w:tcPr>
            <w:tcW w:type="dxa" w:w="2232"/>
            <w:shd w:fill="17324D"/>
            <w:vAlign w:val="center"/>
            <w:tcMar>
              <w:top w:w="60" w:type="dxa"/>
              <w:start w:w="70" w:type="dxa"/>
              <w:bottom w:w="60" w:type="dxa"/>
              <w:end w:w="70" w:type="dxa"/>
            </w:tcMar>
          </w:tcPr>
          <w:p>
            <w:pPr>
              <w:spacing w:after="0"/>
            </w:pPr>
            <w:r/>
            <w:r>
              <w:rPr>
                <w:rFonts w:ascii="Aptos" w:hAnsi="Aptos"/>
                <w:b/>
                <w:color w:val="FFFFFF"/>
                <w:sz w:val="13"/>
              </w:rPr>
              <w:t>Class / metric</w:t>
            </w:r>
          </w:p>
        </w:tc>
        <w:tc>
          <w:tcPr>
            <w:tcW w:type="dxa" w:w="7848"/>
            <w:shd w:fill="17324D"/>
            <w:vAlign w:val="center"/>
            <w:tcMar>
              <w:top w:w="60" w:type="dxa"/>
              <w:start w:w="70" w:type="dxa"/>
              <w:bottom w:w="60" w:type="dxa"/>
              <w:end w:w="70" w:type="dxa"/>
            </w:tcMar>
          </w:tcPr>
          <w:p>
            <w:pPr>
              <w:spacing w:after="0"/>
            </w:pPr>
            <w:r/>
            <w:r>
              <w:rPr>
                <w:rFonts w:ascii="Aptos" w:hAnsi="Aptos"/>
                <w:b/>
                <w:color w:val="FFFFFF"/>
                <w:sz w:val="13"/>
              </w:rPr>
              <w:t>Operational definition, source, cadence, owner</w:t>
            </w:r>
          </w:p>
        </w:tc>
      </w:tr>
      <w:tr>
        <w:tc>
          <w:tcPr>
            <w:tcW w:type="dxa" w:w="2232"/>
            <w:vAlign w:val="center"/>
            <w:tcMar>
              <w:top w:w="60" w:type="dxa"/>
              <w:start w:w="70" w:type="dxa"/>
              <w:bottom w:w="60" w:type="dxa"/>
              <w:end w:w="70" w:type="dxa"/>
            </w:tcMar>
          </w:tcPr>
          <w:p>
            <w:pPr>
              <w:spacing w:after="0"/>
            </w:pPr>
            <w:r/>
            <w:r>
              <w:rPr>
                <w:rFonts w:ascii="Aptos" w:hAnsi="Aptos"/>
                <w:b w:val="0"/>
                <w:color w:val="22313F"/>
                <w:sz w:val="13"/>
              </w:rPr>
              <w:t>PRIMARY — Median work-item lead time</w:t>
            </w:r>
          </w:p>
        </w:tc>
        <w:tc>
          <w:tcPr>
            <w:tcW w:type="dxa" w:w="7848"/>
            <w:vAlign w:val="center"/>
            <w:tcMar>
              <w:top w:w="60" w:type="dxa"/>
              <w:start w:w="70" w:type="dxa"/>
              <w:bottom w:w="60" w:type="dxa"/>
              <w:end w:w="70" w:type="dxa"/>
            </w:tcMar>
          </w:tcPr>
          <w:p>
            <w:pPr>
              <w:spacing w:after="0"/>
            </w:pPr>
            <w:r/>
            <w:r>
              <w:rPr>
                <w:rFonts w:ascii="Aptos" w:hAnsi="Aptos"/>
                <w:b w:val="0"/>
                <w:color w:val="22313F"/>
                <w:sz w:val="13"/>
              </w:rPr>
              <w:t>For production-bound work items closed in the steady-state window: hours from first “In Progress” timestamp to first production deployment timestamp. Numerator/event: elapsed hours per eligible work item; denominator/unit: median per allocation-cluster-week. Lower is better. Work-management and deployment systems of record; weekly extraction; Data Quality Lead. Fixed manual linkage rules are approved before unblinded results.</w:t>
            </w:r>
          </w:p>
        </w:tc>
      </w:tr>
      <w:tr>
        <w:tc>
          <w:tcPr>
            <w:tcW w:type="dxa" w:w="2232"/>
            <w:shd w:fill="F4F7F9"/>
            <w:vAlign w:val="center"/>
            <w:tcMar>
              <w:top w:w="60" w:type="dxa"/>
              <w:start w:w="70" w:type="dxa"/>
              <w:bottom w:w="60" w:type="dxa"/>
              <w:end w:w="70" w:type="dxa"/>
            </w:tcMar>
          </w:tcPr>
          <w:p>
            <w:pPr>
              <w:spacing w:after="0"/>
            </w:pPr>
            <w:r/>
            <w:r>
              <w:rPr>
                <w:rFonts w:ascii="Aptos" w:hAnsi="Aptos"/>
                <w:b w:val="0"/>
                <w:color w:val="22313F"/>
                <w:sz w:val="13"/>
              </w:rPr>
              <w:t>SECONDARY — Flow</w:t>
            </w:r>
          </w:p>
        </w:tc>
        <w:tc>
          <w:tcPr>
            <w:tcW w:type="dxa" w:w="7848"/>
            <w:shd w:fill="F4F7F9"/>
            <w:vAlign w:val="center"/>
            <w:tcMar>
              <w:top w:w="60" w:type="dxa"/>
              <w:start w:w="70" w:type="dxa"/>
              <w:bottom w:w="60" w:type="dxa"/>
              <w:end w:w="70" w:type="dxa"/>
            </w:tcMar>
          </w:tcPr>
          <w:p>
            <w:pPr>
              <w:spacing w:after="0"/>
            </w:pPr>
            <w:r/>
            <w:r>
              <w:rPr>
                <w:rFonts w:ascii="Aptos" w:hAnsi="Aptos"/>
                <w:b w:val="0"/>
                <w:color w:val="22313F"/>
                <w:sz w:val="13"/>
              </w:rPr>
              <w:t>Completed eligible work items per cluster-week and deployment frequency, from the same systems. Contextual flow only; neither equates volume with client value or individual productivity. Weekly; Data Quality Lead.</w:t>
            </w:r>
          </w:p>
        </w:tc>
      </w:tr>
      <w:tr>
        <w:tc>
          <w:tcPr>
            <w:tcW w:type="dxa" w:w="2232"/>
            <w:vAlign w:val="center"/>
            <w:tcMar>
              <w:top w:w="60" w:type="dxa"/>
              <w:start w:w="70" w:type="dxa"/>
              <w:bottom w:w="60" w:type="dxa"/>
              <w:end w:w="70" w:type="dxa"/>
            </w:tcMar>
          </w:tcPr>
          <w:p>
            <w:pPr>
              <w:spacing w:after="0"/>
            </w:pPr>
            <w:r/>
            <w:r>
              <w:rPr>
                <w:rFonts w:ascii="Aptos" w:hAnsi="Aptos"/>
                <w:b w:val="0"/>
                <w:color w:val="22313F"/>
                <w:sz w:val="13"/>
              </w:rPr>
              <w:t>GUARDRAIL — Escaped quality</w:t>
            </w:r>
          </w:p>
        </w:tc>
        <w:tc>
          <w:tcPr>
            <w:tcW w:type="dxa" w:w="7848"/>
            <w:vAlign w:val="center"/>
            <w:tcMar>
              <w:top w:w="60" w:type="dxa"/>
              <w:start w:w="70" w:type="dxa"/>
              <w:bottom w:w="60" w:type="dxa"/>
              <w:end w:w="70" w:type="dxa"/>
            </w:tcMar>
          </w:tcPr>
          <w:p>
            <w:pPr>
              <w:spacing w:after="0"/>
            </w:pPr>
            <w:r/>
            <w:r>
              <w:rPr>
                <w:rFonts w:ascii="Aptos" w:hAnsi="Aptos"/>
                <w:b w:val="0"/>
                <w:color w:val="22313F"/>
                <w:sz w:val="13"/>
              </w:rPr>
              <w:t>Confirmed P1/P2 defects first logged within 30 days after an eligible deployment ÷ eligible deployments ×100. Defect tracker + deployment record; weekly, with 30-day follow-up/censoring disclosed; Quality Lead. Breach if baseline-adjusted treated-minus-control difference is &gt;2.0 defects per 100 deployments (worse).</w:t>
            </w:r>
          </w:p>
        </w:tc>
      </w:tr>
      <w:tr>
        <w:tc>
          <w:tcPr>
            <w:tcW w:type="dxa" w:w="2232"/>
            <w:shd w:fill="F4F7F9"/>
            <w:vAlign w:val="center"/>
            <w:tcMar>
              <w:top w:w="60" w:type="dxa"/>
              <w:start w:w="70" w:type="dxa"/>
              <w:bottom w:w="60" w:type="dxa"/>
              <w:end w:w="70" w:type="dxa"/>
            </w:tcMar>
          </w:tcPr>
          <w:p>
            <w:pPr>
              <w:spacing w:after="0"/>
            </w:pPr>
            <w:r/>
            <w:r>
              <w:rPr>
                <w:rFonts w:ascii="Aptos" w:hAnsi="Aptos"/>
                <w:b w:val="0"/>
                <w:color w:val="22313F"/>
                <w:sz w:val="13"/>
              </w:rPr>
              <w:t>GUARDRAIL — Client service</w:t>
            </w:r>
          </w:p>
        </w:tc>
        <w:tc>
          <w:tcPr>
            <w:tcW w:type="dxa" w:w="7848"/>
            <w:shd w:fill="F4F7F9"/>
            <w:vAlign w:val="center"/>
            <w:tcMar>
              <w:top w:w="60" w:type="dxa"/>
              <w:start w:w="70" w:type="dxa"/>
              <w:bottom w:w="60" w:type="dxa"/>
              <w:end w:w="70" w:type="dxa"/>
            </w:tcMar>
          </w:tcPr>
          <w:p>
            <w:pPr>
              <w:spacing w:after="0"/>
            </w:pPr>
            <w:r/>
            <w:r>
              <w:rPr>
                <w:rFonts w:ascii="Aptos" w:hAnsi="Aptos"/>
                <w:b w:val="0"/>
                <w:color w:val="22313F"/>
                <w:sz w:val="13"/>
              </w:rPr>
              <w:t>Service-breach days ÷ scheduled client service days ×100 from client service record; weekly; Client Coordination Lead. Breach if baseline-adjusted treated-minus-control difference is &gt;1.0 percentage point (worse). Internal telemetry alone is not evidence of client satisfaction or savings.</w:t>
            </w:r>
          </w:p>
        </w:tc>
      </w:tr>
      <w:tr>
        <w:tc>
          <w:tcPr>
            <w:tcW w:type="dxa" w:w="2232"/>
            <w:vAlign w:val="center"/>
            <w:tcMar>
              <w:top w:w="60" w:type="dxa"/>
              <w:start w:w="70" w:type="dxa"/>
              <w:bottom w:w="60" w:type="dxa"/>
              <w:end w:w="70" w:type="dxa"/>
            </w:tcMar>
          </w:tcPr>
          <w:p>
            <w:pPr>
              <w:spacing w:after="0"/>
            </w:pPr>
            <w:r/>
            <w:r>
              <w:rPr>
                <w:rFonts w:ascii="Aptos" w:hAnsi="Aptos"/>
                <w:b w:val="0"/>
                <w:color w:val="22313F"/>
                <w:sz w:val="13"/>
              </w:rPr>
              <w:t>GUARDRAIL — Security/confidentiality</w:t>
            </w:r>
          </w:p>
        </w:tc>
        <w:tc>
          <w:tcPr>
            <w:tcW w:type="dxa" w:w="7848"/>
            <w:vAlign w:val="center"/>
            <w:tcMar>
              <w:top w:w="60" w:type="dxa"/>
              <w:start w:w="70" w:type="dxa"/>
              <w:bottom w:w="60" w:type="dxa"/>
              <w:end w:w="70" w:type="dxa"/>
            </w:tcMar>
          </w:tcPr>
          <w:p>
            <w:pPr>
              <w:spacing w:after="0"/>
            </w:pPr>
            <w:r/>
            <w:r>
              <w:rPr>
                <w:rFonts w:ascii="Aptos" w:hAnsi="Aptos"/>
                <w:b w:val="0"/>
                <w:color w:val="22313F"/>
                <w:sz w:val="13"/>
              </w:rPr>
              <w:t>Credible indication that client source code or confidential information left, or became available outside, approved boundaries. Security monitoring, audit logs and incident record; continuous; Security Lead. Severe-event threshold is 1.</w:t>
            </w:r>
          </w:p>
        </w:tc>
      </w:tr>
      <w:tr>
        <w:tc>
          <w:tcPr>
            <w:tcW w:type="dxa" w:w="2232"/>
            <w:shd w:fill="F4F7F9"/>
            <w:vAlign w:val="center"/>
            <w:tcMar>
              <w:top w:w="60" w:type="dxa"/>
              <w:start w:w="70" w:type="dxa"/>
              <w:bottom w:w="60" w:type="dxa"/>
              <w:end w:w="70" w:type="dxa"/>
            </w:tcMar>
          </w:tcPr>
          <w:p>
            <w:pPr>
              <w:spacing w:after="0"/>
            </w:pPr>
            <w:r/>
            <w:r>
              <w:rPr>
                <w:rFonts w:ascii="Aptos" w:hAnsi="Aptos"/>
                <w:b w:val="0"/>
                <w:color w:val="22313F"/>
                <w:sz w:val="13"/>
              </w:rPr>
              <w:t>SECONDARY — Workforce experience</w:t>
            </w:r>
          </w:p>
        </w:tc>
        <w:tc>
          <w:tcPr>
            <w:tcW w:type="dxa" w:w="7848"/>
            <w:shd w:fill="F4F7F9"/>
            <w:vAlign w:val="center"/>
            <w:tcMar>
              <w:top w:w="60" w:type="dxa"/>
              <w:start w:w="70" w:type="dxa"/>
              <w:bottom w:w="60" w:type="dxa"/>
              <w:end w:w="70" w:type="dxa"/>
            </w:tcMar>
          </w:tcPr>
          <w:p>
            <w:pPr>
              <w:spacing w:after="0"/>
            </w:pPr>
            <w:r/>
            <w:r>
              <w:rPr>
                <w:rFonts w:ascii="Aptos" w:hAnsi="Aptos"/>
                <w:b w:val="0"/>
                <w:color w:val="22313F"/>
                <w:sz w:val="13"/>
              </w:rPr>
              <w:t>Five-item pulse (clarity, rework burden, confidence, workload, perceived usefulness), 1–5 scale, anonymous response reporting only at cluster aggregate where feasible; at baseline, week 4 and quarter-end; People Analytics. It is not delivery benefit.</w:t>
            </w:r>
          </w:p>
        </w:tc>
      </w:tr>
      <w:tr>
        <w:tc>
          <w:tcPr>
            <w:tcW w:type="dxa" w:w="2232"/>
            <w:vAlign w:val="center"/>
            <w:tcMar>
              <w:top w:w="60" w:type="dxa"/>
              <w:start w:w="70" w:type="dxa"/>
              <w:bottom w:w="60" w:type="dxa"/>
              <w:end w:w="70" w:type="dxa"/>
            </w:tcMar>
          </w:tcPr>
          <w:p>
            <w:pPr>
              <w:spacing w:after="0"/>
            </w:pPr>
            <w:r/>
            <w:r>
              <w:rPr>
                <w:rFonts w:ascii="Aptos" w:hAnsi="Aptos"/>
                <w:b w:val="0"/>
                <w:color w:val="22313F"/>
                <w:sz w:val="13"/>
              </w:rPr>
              <w:t>DIAGNOSTIC — Implementation</w:t>
            </w:r>
          </w:p>
        </w:tc>
        <w:tc>
          <w:tcPr>
            <w:tcW w:type="dxa" w:w="7848"/>
            <w:vAlign w:val="center"/>
            <w:tcMar>
              <w:top w:w="60" w:type="dxa"/>
              <w:start w:w="70" w:type="dxa"/>
              <w:bottom w:w="60" w:type="dxa"/>
              <w:end w:w="70" w:type="dxa"/>
            </w:tcMar>
          </w:tcPr>
          <w:p>
            <w:pPr>
              <w:spacing w:after="0"/>
            </w:pPr>
            <w:r/>
            <w:r>
              <w:rPr>
                <w:rFonts w:ascii="Aptos" w:hAnsi="Aptos"/>
                <w:b w:val="0"/>
                <w:color w:val="22313F"/>
                <w:sz w:val="13"/>
              </w:rPr>
              <w:t>Account provisioning, meaningful-exposure weeks, training completion, policy acknowledgements, contamination and support tickets. Admin/audit sources weekly; Access Administrator.</w:t>
            </w:r>
          </w:p>
        </w:tc>
      </w:tr>
    </w:tbl>
    <w:p>
      <w:pPr>
        <w:spacing w:after="0"/>
      </w:pPr>
    </w:p>
    <w:p>
      <w:pPr>
        <w:spacing w:after="60" w:line="240" w:lineRule="auto"/>
      </w:pPr>
      <w:r>
        <w:t>Lag rule: defects are observed for 30 days after each eligible deployment. Quarter-end report separately identifies outcomes still within that window; it does not represent an incomplete lag as zero defects.</w:t>
      </w:r>
    </w:p>
    <w:p>
      <w:r>
        <w:br w:type="page"/>
      </w:r>
    </w:p>
    <w:p>
      <w:pPr>
        <w:pStyle w:val="Heading1"/>
      </w:pPr>
      <w:r>
        <w:t>3. Analysis, precision and interpretation</w:t>
      </w:r>
    </w:p>
    <w:p>
      <w:pPr>
        <w:pStyle w:val="Heading1"/>
      </w:pPr>
      <w:r>
        <w:t>Primary analysis</w:t>
      </w:r>
    </w:p>
    <w:p>
      <w:pPr>
        <w:spacing w:after="60" w:line="240" w:lineRule="auto"/>
      </w:pPr>
      <w:r>
        <w:t>The independent Analysis Lead aggregates eligible work items to a cluster-week median, then estimates the baseline-adjusted difference-in-differences above across matched cluster pairs. Repeated cluster-week observations are longitudinal measures, not independent replications; uncertainty is based on cluster-pair resampling with weekly block resampling and a two-sided 95% confidence interval. Pair-preserving randomization inference is reported as a sensitivity check. The report presents effect size, 95% interval, cluster counts and coverage—not a p-value alone.</w:t>
      </w:r>
    </w:p>
    <w:p>
      <w:pPr>
        <w:spacing w:after="60" w:line="240" w:lineRule="auto"/>
      </w:pPr>
      <w:r>
        <w:t>Primary population remains the six clusters as assigned (intention-to-treat), including assigned users who do not use the assistant. Secondary exposure analysis compares meaningful-exposure weeks only as a descriptive/per-protocol sensitivity and labels selection bias. Contamination-adjusted sensitivity excludes neither assigned clusters nor inconvenient weeks; it reports the same primary estimate with contamination indicators and a separately labelled alternative specification.</w:t>
      </w:r>
    </w:p>
    <w:p>
      <w:pPr>
        <w:pStyle w:val="Heading1"/>
      </w:pPr>
      <w:r>
        <w:t>Prospective feasibility / precision check</w:t>
      </w:r>
    </w:p>
    <w:p>
      <w:pPr>
        <w:spacing w:after="60" w:line="240" w:lineRule="auto"/>
      </w:pPr>
      <w:r>
        <w:t>Eleven squads and six allocation clusters constrain inference; statistical significance is not guaranteed. Before activation, calculate the blinded baseline cluster-change standard deviations sT and sC and planning half-width H = 1.96 × √(sT²/3 + sC²/3) hours. If H &gt; 12.0 hours, the proposed −8.0-hour target is insufficiently precise under this design: do not activate as evaluable; present a revised protocol or close. This is a planning gate, not a claimed power result.</w:t>
      </w:r>
    </w:p>
    <w:p>
      <w:pPr>
        <w:pStyle w:val="Heading1"/>
      </w:pPr>
      <w:r>
        <w:t>Data and confound protocol</w:t>
      </w:r>
    </w:p>
    <w:tbl>
      <w:tblPr>
        <w:tblStyle w:val="TableGrid"/>
        <w:tblW w:type="auto" w:w="0"/>
        <w:jc w:val="center"/>
        <w:tblLayout w:type="fixed"/>
        <w:tblLook w:firstColumn="1" w:firstRow="1" w:lastColumn="0" w:lastRow="0" w:noHBand="0" w:noVBand="1" w:val="04A0"/>
      </w:tblPr>
      <w:tblGrid>
        <w:gridCol w:w="5285"/>
        <w:gridCol w:w="5285"/>
      </w:tblGrid>
      <w:tr>
        <w:trPr>
          <w:tblHeader w:val="true"/>
        </w:trPr>
        <w:tc>
          <w:tcPr>
            <w:tcW w:type="dxa" w:w="2232"/>
            <w:shd w:fill="17324D"/>
            <w:vAlign w:val="center"/>
            <w:tcMar>
              <w:top w:w="60" w:type="dxa"/>
              <w:start w:w="70" w:type="dxa"/>
              <w:bottom w:w="60" w:type="dxa"/>
              <w:end w:w="70" w:type="dxa"/>
            </w:tcMar>
          </w:tcPr>
          <w:p>
            <w:pPr>
              <w:spacing w:after="0"/>
            </w:pPr>
            <w:r/>
            <w:r>
              <w:rPr>
                <w:rFonts w:ascii="Aptos" w:hAnsi="Aptos"/>
                <w:b/>
                <w:color w:val="FFFFFF"/>
                <w:sz w:val="14"/>
              </w:rPr>
              <w:t>Condition</w:t>
            </w:r>
          </w:p>
        </w:tc>
        <w:tc>
          <w:tcPr>
            <w:tcW w:type="dxa" w:w="7848"/>
            <w:shd w:fill="17324D"/>
            <w:vAlign w:val="center"/>
            <w:tcMar>
              <w:top w:w="60" w:type="dxa"/>
              <w:start w:w="70" w:type="dxa"/>
              <w:bottom w:w="60" w:type="dxa"/>
              <w:end w:w="70" w:type="dxa"/>
            </w:tcMar>
          </w:tcPr>
          <w:p>
            <w:pPr>
              <w:spacing w:after="0"/>
            </w:pPr>
            <w:r/>
            <w:r>
              <w:rPr>
                <w:rFonts w:ascii="Aptos" w:hAnsi="Aptos"/>
                <w:b/>
                <w:color w:val="FFFFFF"/>
                <w:sz w:val="14"/>
              </w:rPr>
              <w:t>Precommitted handling</w:t>
            </w:r>
          </w:p>
        </w:tc>
      </w:tr>
      <w:tr>
        <w:tc>
          <w:tcPr>
            <w:tcW w:type="dxa" w:w="2232"/>
            <w:vAlign w:val="center"/>
            <w:tcMar>
              <w:top w:w="60" w:type="dxa"/>
              <w:start w:w="70" w:type="dxa"/>
              <w:bottom w:w="60" w:type="dxa"/>
              <w:end w:w="70" w:type="dxa"/>
            </w:tcMar>
          </w:tcPr>
          <w:p>
            <w:pPr>
              <w:spacing w:after="0"/>
            </w:pPr>
            <w:r/>
            <w:r>
              <w:rPr>
                <w:rFonts w:ascii="Aptos" w:hAnsi="Aptos"/>
                <w:b w:val="0"/>
                <w:color w:val="22313F"/>
                <w:sz w:val="14"/>
              </w:rPr>
              <w:t>Missing vs zero</w:t>
            </w:r>
          </w:p>
        </w:tc>
        <w:tc>
          <w:tcPr>
            <w:tcW w:type="dxa" w:w="7848"/>
            <w:vAlign w:val="center"/>
            <w:tcMar>
              <w:top w:w="60" w:type="dxa"/>
              <w:start w:w="70" w:type="dxa"/>
              <w:bottom w:w="60" w:type="dxa"/>
              <w:end w:w="70" w:type="dxa"/>
            </w:tcMar>
          </w:tcPr>
          <w:p>
            <w:pPr>
              <w:spacing w:after="0"/>
            </w:pPr>
            <w:r/>
            <w:r>
              <w:rPr>
                <w:rFonts w:ascii="Aptos" w:hAnsi="Aptos"/>
                <w:b w:val="0"/>
                <w:color w:val="22313F"/>
                <w:sz w:val="14"/>
              </w:rPr>
              <w:t>Every scheduled record is coded observed, true zero, not applicable, or missing with reason. Missing is never zero and is not silently dropped. Report coverage by cluster/period; sensitivity shows complete-case and reason-stratified bounds.</w:t>
            </w:r>
          </w:p>
        </w:tc>
      </w:tr>
      <w:tr>
        <w:tc>
          <w:tcPr>
            <w:tcW w:type="dxa" w:w="2232"/>
            <w:shd w:fill="F4F7F9"/>
            <w:vAlign w:val="center"/>
            <w:tcMar>
              <w:top w:w="60" w:type="dxa"/>
              <w:start w:w="70" w:type="dxa"/>
              <w:bottom w:w="60" w:type="dxa"/>
              <w:end w:w="70" w:type="dxa"/>
            </w:tcMar>
          </w:tcPr>
          <w:p>
            <w:pPr>
              <w:spacing w:after="0"/>
            </w:pPr>
            <w:r/>
            <w:r>
              <w:rPr>
                <w:rFonts w:ascii="Aptos" w:hAnsi="Aptos"/>
                <w:b w:val="0"/>
                <w:color w:val="22313F"/>
                <w:sz w:val="14"/>
              </w:rPr>
              <w:t>Outliers/corrections</w:t>
            </w:r>
          </w:p>
        </w:tc>
        <w:tc>
          <w:tcPr>
            <w:tcW w:type="dxa" w:w="7848"/>
            <w:shd w:fill="F4F7F9"/>
            <w:vAlign w:val="center"/>
            <w:tcMar>
              <w:top w:w="60" w:type="dxa"/>
              <w:start w:w="70" w:type="dxa"/>
              <w:bottom w:w="60" w:type="dxa"/>
              <w:end w:w="70" w:type="dxa"/>
            </w:tcMar>
          </w:tcPr>
          <w:p>
            <w:pPr>
              <w:spacing w:after="0"/>
            </w:pPr>
            <w:r/>
            <w:r>
              <w:rPr>
                <w:rFonts w:ascii="Aptos" w:hAnsi="Aptos"/>
                <w:b w:val="0"/>
                <w:color w:val="22313F"/>
                <w:sz w:val="14"/>
              </w:rPr>
              <w:t>Flag impossible timestamps, duplicate IDs and values outside source-system-valid ranges. Correct only with source evidence; preserve raw value, corrected value, reason, approver and timestamp. Report analyses with/without corrected records.</w:t>
            </w:r>
          </w:p>
        </w:tc>
      </w:tr>
      <w:tr>
        <w:tc>
          <w:tcPr>
            <w:tcW w:type="dxa" w:w="2232"/>
            <w:vAlign w:val="center"/>
            <w:tcMar>
              <w:top w:w="60" w:type="dxa"/>
              <w:start w:w="70" w:type="dxa"/>
              <w:bottom w:w="60" w:type="dxa"/>
              <w:end w:w="70" w:type="dxa"/>
            </w:tcMar>
          </w:tcPr>
          <w:p>
            <w:pPr>
              <w:spacing w:after="0"/>
            </w:pPr>
            <w:r/>
            <w:r>
              <w:rPr>
                <w:rFonts w:ascii="Aptos" w:hAnsi="Aptos"/>
                <w:b w:val="0"/>
                <w:color w:val="22313F"/>
                <w:sz w:val="14"/>
              </w:rPr>
              <w:t>People and repositories</w:t>
            </w:r>
          </w:p>
        </w:tc>
        <w:tc>
          <w:tcPr>
            <w:tcW w:type="dxa" w:w="7848"/>
            <w:vAlign w:val="center"/>
            <w:tcMar>
              <w:top w:w="60" w:type="dxa"/>
              <w:start w:w="70" w:type="dxa"/>
              <w:bottom w:w="60" w:type="dxa"/>
              <w:end w:w="70" w:type="dxa"/>
            </w:tcMar>
          </w:tcPr>
          <w:p>
            <w:pPr>
              <w:spacing w:after="0"/>
            </w:pPr>
            <w:r/>
            <w:r>
              <w:rPr>
                <w:rFonts w:ascii="Aptos" w:hAnsi="Aptos"/>
                <w:b w:val="0"/>
                <w:color w:val="22313F"/>
                <w:sz w:val="14"/>
              </w:rPr>
              <w:t>Freeze assignment roster and repository list at baseline. Joiners/leavers/transfers, seniority-mix changes, repository creation/retirement/ownership transfer and codebase-age changes enter a change log; primary assignment never changes retrospectively. New repositories are excluded from primary analysis; transferred repositories retain baseline cluster attribution.</w:t>
            </w:r>
          </w:p>
        </w:tc>
      </w:tr>
      <w:tr>
        <w:tc>
          <w:tcPr>
            <w:tcW w:type="dxa" w:w="2232"/>
            <w:shd w:fill="F4F7F9"/>
            <w:vAlign w:val="center"/>
            <w:tcMar>
              <w:top w:w="60" w:type="dxa"/>
              <w:start w:w="70" w:type="dxa"/>
              <w:bottom w:w="60" w:type="dxa"/>
              <w:end w:w="70" w:type="dxa"/>
            </w:tcMar>
          </w:tcPr>
          <w:p>
            <w:pPr>
              <w:spacing w:after="0"/>
            </w:pPr>
            <w:r/>
            <w:r>
              <w:rPr>
                <w:rFonts w:ascii="Aptos" w:hAnsi="Aptos"/>
                <w:b w:val="0"/>
                <w:color w:val="22313F"/>
                <w:sz w:val="14"/>
              </w:rPr>
              <w:t>Work and calendar context</w:t>
            </w:r>
          </w:p>
        </w:tc>
        <w:tc>
          <w:tcPr>
            <w:tcW w:type="dxa" w:w="7848"/>
            <w:shd w:fill="F4F7F9"/>
            <w:vAlign w:val="center"/>
            <w:tcMar>
              <w:top w:w="60" w:type="dxa"/>
              <w:start w:w="70" w:type="dxa"/>
              <w:bottom w:w="60" w:type="dxa"/>
              <w:end w:w="70" w:type="dxa"/>
            </w:tcMar>
          </w:tcPr>
          <w:p>
            <w:pPr>
              <w:spacing w:after="0"/>
            </w:pPr>
            <w:r/>
            <w:r>
              <w:rPr>
                <w:rFonts w:ascii="Aptos" w:hAnsi="Aptos"/>
                <w:b w:val="0"/>
                <w:color w:val="22313F"/>
                <w:sz w:val="14"/>
              </w:rPr>
              <w:t>Weekly log captures client, project type, delivery phase, work-mix proxy, releases, holidays, incidents and policy changes for both conditions. Material movements are interpreted against this log, exposure and composition—not attributed to the assistant by percentage change alone.</w:t>
            </w:r>
          </w:p>
        </w:tc>
      </w:tr>
    </w:tbl>
    <w:p>
      <w:pPr>
        <w:spacing w:after="0"/>
      </w:pPr>
    </w:p>
    <w:p>
      <w:pPr>
        <w:spacing w:after="60" w:line="240" w:lineRule="auto"/>
      </w:pPr>
      <w:r>
        <w:t>Causal limit: constrained assignment and baseline adjustment support a controlled estimate of assignment under this setting. Small cluster count, incomplete adherence, residual confounding and contamination can leave uncertainty; association is not proof of a general enterprise effect.</w:t>
      </w:r>
    </w:p>
    <w:p>
      <w:r>
        <w:br w:type="page"/>
      </w:r>
    </w:p>
    <w:p>
      <w:pPr>
        <w:pStyle w:val="Heading1"/>
      </w:pPr>
      <w:r>
        <w:t>4. Fixed adjudication rule and exception taxonomy</w:t>
      </w:r>
    </w:p>
    <w:p>
      <w:pPr>
        <w:spacing w:after="60" w:line="240" w:lineRule="auto"/>
      </w:pPr>
      <w:r>
        <w:t>The sequence below is approved before access is enabled. It is applied by the independent Analysis Lead and Partners without changing weights after results. “Upper 95% CI” means the upper endpoint of the specified two-sided 95% confidence interval for the primary effect in hours.</w:t>
      </w:r>
    </w:p>
    <w:tbl>
      <w:tblPr>
        <w:tblStyle w:val="TableGrid"/>
        <w:tblW w:type="auto" w:w="0"/>
        <w:jc w:val="center"/>
        <w:tblLayout w:type="fixed"/>
        <w:tblLook w:firstColumn="1" w:firstRow="1" w:lastColumn="0" w:lastRow="0" w:noHBand="0" w:noVBand="1" w:val="04A0"/>
      </w:tblPr>
      <w:tblGrid>
        <w:gridCol w:w="3523"/>
        <w:gridCol w:w="3523"/>
        <w:gridCol w:w="3523"/>
      </w:tblGrid>
      <w:tr>
        <w:trPr>
          <w:tblHeader w:val="true"/>
        </w:trPr>
        <w:tc>
          <w:tcPr>
            <w:tcW w:type="dxa" w:w="1123"/>
            <w:shd w:fill="17324D"/>
            <w:vAlign w:val="center"/>
            <w:tcMar>
              <w:top w:w="60" w:type="dxa"/>
              <w:start w:w="70" w:type="dxa"/>
              <w:bottom w:w="60" w:type="dxa"/>
              <w:end w:w="70" w:type="dxa"/>
            </w:tcMar>
          </w:tcPr>
          <w:p>
            <w:pPr>
              <w:spacing w:after="0"/>
            </w:pPr>
            <w:r/>
            <w:r>
              <w:rPr>
                <w:rFonts w:ascii="Aptos" w:hAnsi="Aptos"/>
                <w:b/>
                <w:color w:val="FFFFFF"/>
                <w:sz w:val="14"/>
              </w:rPr>
              <w:t>Priority</w:t>
            </w:r>
          </w:p>
        </w:tc>
        <w:tc>
          <w:tcPr>
            <w:tcW w:type="dxa" w:w="5112"/>
            <w:shd w:fill="17324D"/>
            <w:vAlign w:val="center"/>
            <w:tcMar>
              <w:top w:w="60" w:type="dxa"/>
              <w:start w:w="70" w:type="dxa"/>
              <w:bottom w:w="60" w:type="dxa"/>
              <w:end w:w="70" w:type="dxa"/>
            </w:tcMar>
          </w:tcPr>
          <w:p>
            <w:pPr>
              <w:spacing w:after="0"/>
            </w:pPr>
            <w:r/>
            <w:r>
              <w:rPr>
                <w:rFonts w:ascii="Aptos" w:hAnsi="Aptos"/>
                <w:b/>
                <w:color w:val="FFFFFF"/>
                <w:sz w:val="14"/>
              </w:rPr>
              <w:t>Rule</w:t>
            </w:r>
          </w:p>
        </w:tc>
        <w:tc>
          <w:tcPr>
            <w:tcW w:type="dxa" w:w="3845"/>
            <w:shd w:fill="17324D"/>
            <w:vAlign w:val="center"/>
            <w:tcMar>
              <w:top w:w="60" w:type="dxa"/>
              <w:start w:w="70" w:type="dxa"/>
              <w:bottom w:w="60" w:type="dxa"/>
              <w:end w:w="70" w:type="dxa"/>
            </w:tcMar>
          </w:tcPr>
          <w:p>
            <w:pPr>
              <w:spacing w:after="0"/>
            </w:pPr>
            <w:r/>
            <w:r>
              <w:rPr>
                <w:rFonts w:ascii="Aptos" w:hAnsi="Aptos"/>
                <w:b/>
                <w:color w:val="FFFFFF"/>
                <w:sz w:val="14"/>
              </w:rPr>
              <w:t>Outcome / disposition</w:t>
            </w:r>
          </w:p>
        </w:tc>
      </w:tr>
      <w:tr>
        <w:tc>
          <w:tcPr>
            <w:tcW w:type="dxa" w:w="1123"/>
            <w:vAlign w:val="center"/>
            <w:tcMar>
              <w:top w:w="60" w:type="dxa"/>
              <w:start w:w="70" w:type="dxa"/>
              <w:bottom w:w="60" w:type="dxa"/>
              <w:end w:w="70" w:type="dxa"/>
            </w:tcMar>
          </w:tcPr>
          <w:p>
            <w:pPr>
              <w:spacing w:after="0"/>
            </w:pPr>
            <w:r/>
            <w:r>
              <w:rPr>
                <w:rFonts w:ascii="Aptos" w:hAnsi="Aptos"/>
                <w:b w:val="0"/>
                <w:color w:val="22313F"/>
                <w:sz w:val="14"/>
              </w:rPr>
              <w:t>0 — severe override</w:t>
            </w:r>
          </w:p>
        </w:tc>
        <w:tc>
          <w:tcPr>
            <w:tcW w:type="dxa" w:w="5112"/>
            <w:vAlign w:val="center"/>
            <w:tcMar>
              <w:top w:w="60" w:type="dxa"/>
              <w:start w:w="70" w:type="dxa"/>
              <w:bottom w:w="60" w:type="dxa"/>
              <w:end w:w="70" w:type="dxa"/>
            </w:tcMar>
          </w:tcPr>
          <w:p>
            <w:pPr>
              <w:spacing w:after="0"/>
            </w:pPr>
            <w:r/>
            <w:r>
              <w:rPr>
                <w:rFonts w:ascii="Aptos" w:hAnsi="Aptos"/>
                <w:b w:val="0"/>
                <w:color w:val="22313F"/>
                <w:sz w:val="14"/>
              </w:rPr>
              <w:t>One or more credible approved-boundary events: a Security Lead triage determines a reasonable basis that client source code or confidential information left or was available outside approved boundaries.</w:t>
            </w:r>
          </w:p>
        </w:tc>
        <w:tc>
          <w:tcPr>
            <w:tcW w:type="dxa" w:w="3845"/>
            <w:vAlign w:val="center"/>
            <w:tcMar>
              <w:top w:w="60" w:type="dxa"/>
              <w:start w:w="70" w:type="dxa"/>
              <w:bottom w:w="60" w:type="dxa"/>
              <w:end w:w="70" w:type="dxa"/>
            </w:tcMar>
          </w:tcPr>
          <w:p>
            <w:pPr>
              <w:spacing w:after="0"/>
            </w:pPr>
            <w:r/>
            <w:r>
              <w:rPr>
                <w:rFonts w:ascii="Aptos" w:hAnsi="Aptos"/>
                <w:b w:val="0"/>
                <w:color w:val="22313F"/>
                <w:sz w:val="14"/>
              </w:rPr>
              <w:t>Immediate pause and incident path. At quarter-end: no continuation unless Partners authorize restart after Security Lead closure. This override cannot be offset by delivery.</w:t>
            </w:r>
          </w:p>
        </w:tc>
      </w:tr>
      <w:tr>
        <w:tc>
          <w:tcPr>
            <w:tcW w:type="dxa" w:w="1123"/>
            <w:shd w:fill="F4F7F9"/>
            <w:vAlign w:val="center"/>
            <w:tcMar>
              <w:top w:w="60" w:type="dxa"/>
              <w:start w:w="70" w:type="dxa"/>
              <w:bottom w:w="60" w:type="dxa"/>
              <w:end w:w="70" w:type="dxa"/>
            </w:tcMar>
          </w:tcPr>
          <w:p>
            <w:pPr>
              <w:spacing w:after="0"/>
            </w:pPr>
            <w:r/>
            <w:r>
              <w:rPr>
                <w:rFonts w:ascii="Aptos" w:hAnsi="Aptos"/>
                <w:b w:val="0"/>
                <w:color w:val="22313F"/>
                <w:sz w:val="14"/>
              </w:rPr>
              <w:t>1 — evidence sufficiency</w:t>
            </w:r>
          </w:p>
        </w:tc>
        <w:tc>
          <w:tcPr>
            <w:tcW w:type="dxa" w:w="5112"/>
            <w:shd w:fill="F4F7F9"/>
            <w:vAlign w:val="center"/>
            <w:tcMar>
              <w:top w:w="60" w:type="dxa"/>
              <w:start w:w="70" w:type="dxa"/>
              <w:bottom w:w="60" w:type="dxa"/>
              <w:end w:w="70" w:type="dxa"/>
            </w:tcMar>
          </w:tcPr>
          <w:p>
            <w:pPr>
              <w:spacing w:after="0"/>
            </w:pPr>
            <w:r/>
            <w:r>
              <w:rPr>
                <w:rFonts w:ascii="Aptos" w:hAnsi="Aptos"/>
                <w:b w:val="0"/>
                <w:color w:val="22313F"/>
                <w:sz w:val="14"/>
              </w:rPr>
              <w:t>No severe event; ≥2 treated and ≥2 control clusters have ≥80% scheduled primary cluster-week coverage; required roster/repository, work/deployment and client-service data are available; H ≤12.0 hours; allocation remains traceable.</w:t>
            </w:r>
          </w:p>
        </w:tc>
        <w:tc>
          <w:tcPr>
            <w:tcW w:type="dxa" w:w="3845"/>
            <w:shd w:fill="F4F7F9"/>
            <w:vAlign w:val="center"/>
            <w:tcMar>
              <w:top w:w="60" w:type="dxa"/>
              <w:start w:w="70" w:type="dxa"/>
              <w:bottom w:w="60" w:type="dxa"/>
              <w:end w:w="70" w:type="dxa"/>
            </w:tcMar>
          </w:tcPr>
          <w:p>
            <w:pPr>
              <w:spacing w:after="0"/>
            </w:pPr>
            <w:r/>
            <w:r>
              <w:rPr>
                <w:rFonts w:ascii="Aptos" w:hAnsi="Aptos"/>
                <w:b w:val="0"/>
                <w:color w:val="22313F"/>
                <w:sz w:val="14"/>
              </w:rPr>
              <w:t>If any condition fails: NON-EVALUABLE. No expansion. Close or bring a redesigned evaluation/controlled extension for approval; never treat absence as benefit.</w:t>
            </w:r>
          </w:p>
        </w:tc>
      </w:tr>
      <w:tr>
        <w:tc>
          <w:tcPr>
            <w:tcW w:type="dxa" w:w="1123"/>
            <w:vAlign w:val="center"/>
            <w:tcMar>
              <w:top w:w="60" w:type="dxa"/>
              <w:start w:w="70" w:type="dxa"/>
              <w:bottom w:w="60" w:type="dxa"/>
              <w:end w:w="70" w:type="dxa"/>
            </w:tcMar>
          </w:tcPr>
          <w:p>
            <w:pPr>
              <w:spacing w:after="0"/>
            </w:pPr>
            <w:r/>
            <w:r>
              <w:rPr>
                <w:rFonts w:ascii="Aptos" w:hAnsi="Aptos"/>
                <w:b w:val="0"/>
                <w:color w:val="22313F"/>
                <w:sz w:val="14"/>
              </w:rPr>
              <w:t>2 — continuation evidence</w:t>
            </w:r>
          </w:p>
        </w:tc>
        <w:tc>
          <w:tcPr>
            <w:tcW w:type="dxa" w:w="5112"/>
            <w:vAlign w:val="center"/>
            <w:tcMar>
              <w:top w:w="60" w:type="dxa"/>
              <w:start w:w="70" w:type="dxa"/>
              <w:bottom w:w="60" w:type="dxa"/>
              <w:end w:w="70" w:type="dxa"/>
            </w:tcMar>
          </w:tcPr>
          <w:p>
            <w:pPr>
              <w:spacing w:after="0"/>
            </w:pPr>
            <w:r/>
            <w:r>
              <w:rPr>
                <w:rFonts w:ascii="Aptos" w:hAnsi="Aptos"/>
                <w:b w:val="0"/>
                <w:color w:val="22313F"/>
                <w:sz w:val="14"/>
              </w:rPr>
              <w:t>Evaluable; no quality or client breach; upper 95% CI for primary difference-in-differences ≤ −8.0 hours.</w:t>
            </w:r>
          </w:p>
        </w:tc>
        <w:tc>
          <w:tcPr>
            <w:tcW w:type="dxa" w:w="3845"/>
            <w:vAlign w:val="center"/>
            <w:tcMar>
              <w:top w:w="60" w:type="dxa"/>
              <w:start w:w="70" w:type="dxa"/>
              <w:bottom w:w="60" w:type="dxa"/>
              <w:end w:w="70" w:type="dxa"/>
            </w:tcMar>
          </w:tcPr>
          <w:p>
            <w:pPr>
              <w:spacing w:after="0"/>
            </w:pPr>
            <w:r/>
            <w:r>
              <w:rPr>
                <w:rFonts w:ascii="Aptos" w:hAnsi="Aptos"/>
                <w:b w:val="0"/>
                <w:color w:val="22313F"/>
                <w:sz w:val="14"/>
              </w:rPr>
              <w:t>EVIDENCE SUPPORTS CONTROLLED CONTINUATION for a separate authorization decision, not adoption or rollout.</w:t>
            </w:r>
          </w:p>
        </w:tc>
      </w:tr>
      <w:tr>
        <w:tc>
          <w:tcPr>
            <w:tcW w:type="dxa" w:w="1123"/>
            <w:shd w:fill="F4F7F9"/>
            <w:vAlign w:val="center"/>
            <w:tcMar>
              <w:top w:w="60" w:type="dxa"/>
              <w:start w:w="70" w:type="dxa"/>
              <w:bottom w:w="60" w:type="dxa"/>
              <w:end w:w="70" w:type="dxa"/>
            </w:tcMar>
          </w:tcPr>
          <w:p>
            <w:pPr>
              <w:spacing w:after="0"/>
            </w:pPr>
            <w:r/>
            <w:r>
              <w:rPr>
                <w:rFonts w:ascii="Aptos" w:hAnsi="Aptos"/>
                <w:b w:val="0"/>
                <w:color w:val="22313F"/>
                <w:sz w:val="14"/>
              </w:rPr>
              <w:t>3 — no-continuation evidence</w:t>
            </w:r>
          </w:p>
        </w:tc>
        <w:tc>
          <w:tcPr>
            <w:tcW w:type="dxa" w:w="5112"/>
            <w:shd w:fill="F4F7F9"/>
            <w:vAlign w:val="center"/>
            <w:tcMar>
              <w:top w:w="60" w:type="dxa"/>
              <w:start w:w="70" w:type="dxa"/>
              <w:bottom w:w="60" w:type="dxa"/>
              <w:end w:w="70" w:type="dxa"/>
            </w:tcMar>
          </w:tcPr>
          <w:p>
            <w:pPr>
              <w:spacing w:after="0"/>
            </w:pPr>
            <w:r/>
            <w:r>
              <w:rPr>
                <w:rFonts w:ascii="Aptos" w:hAnsi="Aptos"/>
                <w:b w:val="0"/>
                <w:color w:val="22313F"/>
                <w:sz w:val="14"/>
              </w:rPr>
              <w:t>Evaluable and the priority-2 condition is not met.</w:t>
            </w:r>
          </w:p>
        </w:tc>
        <w:tc>
          <w:tcPr>
            <w:tcW w:type="dxa" w:w="3845"/>
            <w:shd w:fill="F4F7F9"/>
            <w:vAlign w:val="center"/>
            <w:tcMar>
              <w:top w:w="60" w:type="dxa"/>
              <w:start w:w="70" w:type="dxa"/>
              <w:bottom w:w="60" w:type="dxa"/>
              <w:end w:w="70" w:type="dxa"/>
            </w:tcMar>
          </w:tcPr>
          <w:p>
            <w:pPr>
              <w:spacing w:after="0"/>
            </w:pPr>
            <w:r/>
            <w:r>
              <w:rPr>
                <w:rFonts w:ascii="Aptos" w:hAnsi="Aptos"/>
                <w:b w:val="0"/>
                <w:color w:val="22313F"/>
                <w:sz w:val="14"/>
              </w:rPr>
              <w:t>EVIDENCE SUPPORTS NO CONTINUATION.</w:t>
            </w:r>
          </w:p>
        </w:tc>
      </w:tr>
    </w:tbl>
    <w:p>
      <w:pPr>
        <w:spacing w:after="0"/>
      </w:pPr>
    </w:p>
    <w:p>
      <w:pPr>
        <w:spacing w:after="60" w:line="240" w:lineRule="auto"/>
      </w:pPr>
      <w:r>
        <w:t>The ordered rule is exhaustive and non-overlapping: priority 0 overrides all; otherwise 1 is non-evaluable; otherwise exactly one of 2 or 3 applies. A point estimate faster than −8.0 hours without the required upper-bound precision is priority 3, not continuation evidence.</w:t>
      </w:r>
    </w:p>
    <w:p>
      <w:pPr>
        <w:pStyle w:val="Heading1"/>
      </w:pPr>
      <w:r>
        <w:t>Routine evidence failure is not a security event</w:t>
      </w:r>
    </w:p>
    <w:p>
      <w:pPr>
        <w:spacing w:after="60" w:line="240" w:lineRule="auto"/>
      </w:pPr>
      <w:r>
        <w:t>Client withdrawal of telemetry permission: Client Coordination Lead stops collection for that client, records scope/date/reason, removes the data from subsequent extracts, and assesses the 80% coverage rule. Required-feed loss: Data Quality Lead opens a data incident, attempts source restoration without substituting zeros, and reports coverage/sensitivity. Either can make the pilot non-evaluable; neither is automatically a boundary breach.</w:t>
      </w:r>
    </w:p>
    <w:p>
      <w:pPr>
        <w:pStyle w:val="Heading1"/>
      </w:pPr>
      <w:r>
        <w:t>Severe information-boundary incident</w:t>
      </w:r>
    </w:p>
    <w:p>
      <w:pPr>
        <w:spacing w:after="60" w:line="240" w:lineRule="auto"/>
      </w:pPr>
      <w:r>
        <w:t>Security Lead or delegated Incident Commander may pause all affected access immediately; preserve logs, prompts/output metadata where lawful, configuration and chain of custody; notify Legal/Privacy, Client Coordination Lead, Sponsor and affected client under applicable commitments; investigate and document scope. Restart requires Security Lead written closure, Legal/Privacy concurrence, corrected control evidence, and explicit Partners authorization. The original protocol result remains reportable.</w:t>
      </w:r>
    </w:p>
    <w:p>
      <w:r>
        <w:br w:type="page"/>
      </w:r>
    </w:p>
    <w:p>
      <w:pPr>
        <w:pStyle w:val="Heading1"/>
      </w:pPr>
      <w:r>
        <w:t>5. Governance, data controls and change control</w:t>
      </w:r>
    </w:p>
    <w:tbl>
      <w:tblPr>
        <w:tblStyle w:val="TableGrid"/>
        <w:tblW w:type="auto" w:w="0"/>
        <w:jc w:val="center"/>
        <w:tblLayout w:type="fixed"/>
        <w:tblLook w:firstColumn="1" w:firstRow="1" w:lastColumn="0" w:lastRow="0" w:noHBand="0" w:noVBand="1" w:val="04A0"/>
      </w:tblPr>
      <w:tblGrid>
        <w:gridCol w:w="5285"/>
        <w:gridCol w:w="5285"/>
      </w:tblGrid>
      <w:tr>
        <w:trPr>
          <w:tblHeader w:val="true"/>
        </w:trPr>
        <w:tc>
          <w:tcPr>
            <w:tcW w:type="dxa" w:w="3168"/>
            <w:shd w:fill="17324D"/>
            <w:vAlign w:val="center"/>
            <w:tcMar>
              <w:top w:w="60" w:type="dxa"/>
              <w:start w:w="70" w:type="dxa"/>
              <w:bottom w:w="60" w:type="dxa"/>
              <w:end w:w="70" w:type="dxa"/>
            </w:tcMar>
          </w:tcPr>
          <w:p>
            <w:pPr>
              <w:spacing w:after="0"/>
            </w:pPr>
            <w:r/>
            <w:r>
              <w:rPr>
                <w:rFonts w:ascii="Aptos" w:hAnsi="Aptos"/>
                <w:b/>
                <w:color w:val="FFFFFF"/>
                <w:sz w:val="14"/>
              </w:rPr>
              <w:t>Function / accountable role</w:t>
            </w:r>
          </w:p>
        </w:tc>
        <w:tc>
          <w:tcPr>
            <w:tcW w:type="dxa" w:w="6912"/>
            <w:shd w:fill="17324D"/>
            <w:vAlign w:val="center"/>
            <w:tcMar>
              <w:top w:w="60" w:type="dxa"/>
              <w:start w:w="70" w:type="dxa"/>
              <w:bottom w:w="60" w:type="dxa"/>
              <w:end w:w="70" w:type="dxa"/>
            </w:tcMar>
          </w:tcPr>
          <w:p>
            <w:pPr>
              <w:spacing w:after="0"/>
            </w:pPr>
            <w:r/>
            <w:r>
              <w:rPr>
                <w:rFonts w:ascii="Aptos" w:hAnsi="Aptos"/>
                <w:b/>
                <w:color w:val="FFFFFF"/>
                <w:sz w:val="14"/>
              </w:rPr>
              <w:t>Decision right and timing</w:t>
            </w:r>
          </w:p>
        </w:tc>
      </w:tr>
      <w:tr>
        <w:tc>
          <w:tcPr>
            <w:tcW w:type="dxa" w:w="3168"/>
            <w:vAlign w:val="center"/>
            <w:tcMar>
              <w:top w:w="60" w:type="dxa"/>
              <w:start w:w="70" w:type="dxa"/>
              <w:bottom w:w="60" w:type="dxa"/>
              <w:end w:w="70" w:type="dxa"/>
            </w:tcMar>
          </w:tcPr>
          <w:p>
            <w:pPr>
              <w:spacing w:after="0"/>
            </w:pPr>
            <w:r/>
            <w:r>
              <w:rPr>
                <w:rFonts w:ascii="Aptos" w:hAnsi="Aptos"/>
                <w:b w:val="0"/>
                <w:color w:val="22313F"/>
                <w:sz w:val="14"/>
              </w:rPr>
              <w:t>Partners</w:t>
            </w:r>
          </w:p>
        </w:tc>
        <w:tc>
          <w:tcPr>
            <w:tcW w:type="dxa" w:w="6912"/>
            <w:vAlign w:val="center"/>
            <w:tcMar>
              <w:top w:w="60" w:type="dxa"/>
              <w:start w:w="70" w:type="dxa"/>
              <w:bottom w:w="60" w:type="dxa"/>
              <w:end w:w="70" w:type="dxa"/>
            </w:tcMar>
          </w:tcPr>
          <w:p>
            <w:pPr>
              <w:spacing w:after="0"/>
            </w:pPr>
            <w:r/>
            <w:r>
              <w:rPr>
                <w:rFonts w:ascii="Aptos" w:hAnsi="Aptos"/>
                <w:b w:val="0"/>
                <w:color w:val="22313F"/>
                <w:sz w:val="14"/>
              </w:rPr>
              <w:t>12 October: approve protocol/activation boundary. Quarter-end: adjudicate the precommitted disposition; only Partners authorize any separately proposed continuation or restart.</w:t>
            </w:r>
          </w:p>
        </w:tc>
      </w:tr>
      <w:tr>
        <w:tc>
          <w:tcPr>
            <w:tcW w:type="dxa" w:w="3168"/>
            <w:shd w:fill="F4F7F9"/>
            <w:vAlign w:val="center"/>
            <w:tcMar>
              <w:top w:w="60" w:type="dxa"/>
              <w:start w:w="70" w:type="dxa"/>
              <w:bottom w:w="60" w:type="dxa"/>
              <w:end w:w="70" w:type="dxa"/>
            </w:tcMar>
          </w:tcPr>
          <w:p>
            <w:pPr>
              <w:spacing w:after="0"/>
            </w:pPr>
            <w:r/>
            <w:r>
              <w:rPr>
                <w:rFonts w:ascii="Aptos" w:hAnsi="Aptos"/>
                <w:b w:val="0"/>
                <w:color w:val="22313F"/>
                <w:sz w:val="14"/>
              </w:rPr>
              <w:t>Maude Waddington — Sponsor</w:t>
            </w:r>
          </w:p>
        </w:tc>
        <w:tc>
          <w:tcPr>
            <w:tcW w:type="dxa" w:w="6912"/>
            <w:shd w:fill="F4F7F9"/>
            <w:vAlign w:val="center"/>
            <w:tcMar>
              <w:top w:w="60" w:type="dxa"/>
              <w:start w:w="70" w:type="dxa"/>
              <w:bottom w:w="60" w:type="dxa"/>
              <w:end w:w="70" w:type="dxa"/>
            </w:tcMar>
          </w:tcPr>
          <w:p>
            <w:pPr>
              <w:spacing w:after="0"/>
            </w:pPr>
            <w:r/>
            <w:r>
              <w:rPr>
                <w:rFonts w:ascii="Aptos" w:hAnsi="Aptos"/>
                <w:b w:val="0"/>
                <w:color w:val="22313F"/>
                <w:sz w:val="14"/>
              </w:rPr>
              <w:t>Makes one-quarter funding available only after partner approval; receives incident and quarter-end record; does not override analysis classification.</w:t>
            </w:r>
          </w:p>
        </w:tc>
      </w:tr>
      <w:tr>
        <w:tc>
          <w:tcPr>
            <w:tcW w:type="dxa" w:w="3168"/>
            <w:vAlign w:val="center"/>
            <w:tcMar>
              <w:top w:w="60" w:type="dxa"/>
              <w:start w:w="70" w:type="dxa"/>
              <w:bottom w:w="60" w:type="dxa"/>
              <w:end w:w="70" w:type="dxa"/>
            </w:tcMar>
          </w:tcPr>
          <w:p>
            <w:pPr>
              <w:spacing w:after="0"/>
            </w:pPr>
            <w:r/>
            <w:r>
              <w:rPr>
                <w:rFonts w:ascii="Aptos" w:hAnsi="Aptos"/>
                <w:b w:val="0"/>
                <w:color w:val="22313F"/>
                <w:sz w:val="14"/>
              </w:rPr>
              <w:t>Aleksy Yablonski — Protocol Custodian</w:t>
            </w:r>
          </w:p>
        </w:tc>
        <w:tc>
          <w:tcPr>
            <w:tcW w:type="dxa" w:w="6912"/>
            <w:vAlign w:val="center"/>
            <w:tcMar>
              <w:top w:w="60" w:type="dxa"/>
              <w:start w:w="70" w:type="dxa"/>
              <w:bottom w:w="60" w:type="dxa"/>
              <w:end w:w="70" w:type="dxa"/>
            </w:tcMar>
          </w:tcPr>
          <w:p>
            <w:pPr>
              <w:spacing w:after="0"/>
            </w:pPr>
            <w:r/>
            <w:r>
              <w:rPr>
                <w:rFonts w:ascii="Aptos" w:hAnsi="Aptos"/>
                <w:b w:val="0"/>
                <w:color w:val="22313F"/>
                <w:sz w:val="14"/>
              </w:rPr>
              <w:t>Maintains controlled version, allocation archive, amendment register and original-result disclosure; prepares 12 October design record.</w:t>
            </w:r>
          </w:p>
        </w:tc>
      </w:tr>
      <w:tr>
        <w:tc>
          <w:tcPr>
            <w:tcW w:type="dxa" w:w="3168"/>
            <w:shd w:fill="F4F7F9"/>
            <w:vAlign w:val="center"/>
            <w:tcMar>
              <w:top w:w="60" w:type="dxa"/>
              <w:start w:w="70" w:type="dxa"/>
              <w:bottom w:w="60" w:type="dxa"/>
              <w:end w:w="70" w:type="dxa"/>
            </w:tcMar>
          </w:tcPr>
          <w:p>
            <w:pPr>
              <w:spacing w:after="0"/>
            </w:pPr>
            <w:r/>
            <w:r>
              <w:rPr>
                <w:rFonts w:ascii="Aptos" w:hAnsi="Aptos"/>
                <w:b w:val="0"/>
                <w:color w:val="22313F"/>
                <w:sz w:val="14"/>
              </w:rPr>
              <w:t>Yusuf Bergqvist — Access &amp; Onboarding Lead</w:t>
            </w:r>
          </w:p>
        </w:tc>
        <w:tc>
          <w:tcPr>
            <w:tcW w:type="dxa" w:w="6912"/>
            <w:shd w:fill="F4F7F9"/>
            <w:vAlign w:val="center"/>
            <w:tcMar>
              <w:top w:w="60" w:type="dxa"/>
              <w:start w:w="70" w:type="dxa"/>
              <w:bottom w:w="60" w:type="dxa"/>
              <w:end w:w="70" w:type="dxa"/>
            </w:tcMar>
          </w:tcPr>
          <w:p>
            <w:pPr>
              <w:spacing w:after="0"/>
            </w:pPr>
            <w:r/>
            <w:r>
              <w:rPr>
                <w:rFonts w:ascii="Aptos" w:hAnsi="Aptos"/>
                <w:b w:val="0"/>
                <w:color w:val="22313F"/>
                <w:sz w:val="14"/>
              </w:rPr>
              <w:t>Completes reset attestation by 14 July; after approval provisions/removes governed access, training and weekly reconciliation.</w:t>
            </w:r>
          </w:p>
        </w:tc>
      </w:tr>
      <w:tr>
        <w:tc>
          <w:tcPr>
            <w:tcW w:type="dxa" w:w="3168"/>
            <w:vAlign w:val="center"/>
            <w:tcMar>
              <w:top w:w="60" w:type="dxa"/>
              <w:start w:w="70" w:type="dxa"/>
              <w:bottom w:w="60" w:type="dxa"/>
              <w:end w:w="70" w:type="dxa"/>
            </w:tcMar>
          </w:tcPr>
          <w:p>
            <w:pPr>
              <w:spacing w:after="0"/>
            </w:pPr>
            <w:r/>
            <w:r>
              <w:rPr>
                <w:rFonts w:ascii="Aptos" w:hAnsi="Aptos"/>
                <w:b w:val="0"/>
                <w:color w:val="22313F"/>
                <w:sz w:val="14"/>
              </w:rPr>
              <w:t>Theo Navarro — Client Coordination Lead</w:t>
            </w:r>
          </w:p>
        </w:tc>
        <w:tc>
          <w:tcPr>
            <w:tcW w:type="dxa" w:w="6912"/>
            <w:vAlign w:val="center"/>
            <w:tcMar>
              <w:top w:w="60" w:type="dxa"/>
              <w:start w:w="70" w:type="dxa"/>
              <w:bottom w:w="60" w:type="dxa"/>
              <w:end w:w="70" w:type="dxa"/>
            </w:tcMar>
          </w:tcPr>
          <w:p>
            <w:pPr>
              <w:spacing w:after="0"/>
            </w:pPr>
            <w:r/>
            <w:r>
              <w:rPr>
                <w:rFonts w:ascii="Aptos" w:hAnsi="Aptos"/>
                <w:b w:val="0"/>
                <w:color w:val="22313F"/>
                <w:sz w:val="14"/>
              </w:rPr>
              <w:t>Confirms client permissions before activation; owns client-service data and withdrawal notices; coordinates client notifications with Security/Legal.</w:t>
            </w:r>
          </w:p>
        </w:tc>
      </w:tr>
      <w:tr>
        <w:tc>
          <w:tcPr>
            <w:tcW w:type="dxa" w:w="3168"/>
            <w:shd w:fill="F4F7F9"/>
            <w:vAlign w:val="center"/>
            <w:tcMar>
              <w:top w:w="60" w:type="dxa"/>
              <w:start w:w="70" w:type="dxa"/>
              <w:bottom w:w="60" w:type="dxa"/>
              <w:end w:w="70" w:type="dxa"/>
            </w:tcMar>
          </w:tcPr>
          <w:p>
            <w:pPr>
              <w:spacing w:after="0"/>
            </w:pPr>
            <w:r/>
            <w:r>
              <w:rPr>
                <w:rFonts w:ascii="Aptos" w:hAnsi="Aptos"/>
                <w:b w:val="0"/>
                <w:color w:val="22313F"/>
                <w:sz w:val="14"/>
              </w:rPr>
              <w:t>Data Quality Lead</w:t>
            </w:r>
          </w:p>
        </w:tc>
        <w:tc>
          <w:tcPr>
            <w:tcW w:type="dxa" w:w="6912"/>
            <w:shd w:fill="F4F7F9"/>
            <w:vAlign w:val="center"/>
            <w:tcMar>
              <w:top w:w="60" w:type="dxa"/>
              <w:start w:w="70" w:type="dxa"/>
              <w:bottom w:w="60" w:type="dxa"/>
              <w:end w:w="70" w:type="dxa"/>
            </w:tcMar>
          </w:tcPr>
          <w:p>
            <w:pPr>
              <w:spacing w:after="0"/>
            </w:pPr>
            <w:r/>
            <w:r>
              <w:rPr>
                <w:rFonts w:ascii="Aptos" w:hAnsi="Aptos"/>
                <w:b w:val="0"/>
                <w:color w:val="22313F"/>
                <w:sz w:val="14"/>
              </w:rPr>
              <w:t>Owns weekly source extracts, coverage, linkage, change log and data incidents.</w:t>
            </w:r>
          </w:p>
        </w:tc>
      </w:tr>
      <w:tr>
        <w:tc>
          <w:tcPr>
            <w:tcW w:type="dxa" w:w="3168"/>
            <w:vAlign w:val="center"/>
            <w:tcMar>
              <w:top w:w="60" w:type="dxa"/>
              <w:start w:w="70" w:type="dxa"/>
              <w:bottom w:w="60" w:type="dxa"/>
              <w:end w:w="70" w:type="dxa"/>
            </w:tcMar>
          </w:tcPr>
          <w:p>
            <w:pPr>
              <w:spacing w:after="0"/>
            </w:pPr>
            <w:r/>
            <w:r>
              <w:rPr>
                <w:rFonts w:ascii="Aptos" w:hAnsi="Aptos"/>
                <w:b w:val="0"/>
                <w:color w:val="22313F"/>
                <w:sz w:val="14"/>
              </w:rPr>
              <w:t>Independent Analysis Lead</w:t>
            </w:r>
          </w:p>
        </w:tc>
        <w:tc>
          <w:tcPr>
            <w:tcW w:type="dxa" w:w="6912"/>
            <w:vAlign w:val="center"/>
            <w:tcMar>
              <w:top w:w="60" w:type="dxa"/>
              <w:start w:w="70" w:type="dxa"/>
              <w:bottom w:w="60" w:type="dxa"/>
              <w:end w:w="70" w:type="dxa"/>
            </w:tcMar>
          </w:tcPr>
          <w:p>
            <w:pPr>
              <w:spacing w:after="0"/>
            </w:pPr>
            <w:r/>
            <w:r>
              <w:rPr>
                <w:rFonts w:ascii="Aptos" w:hAnsi="Aptos"/>
                <w:b w:val="0"/>
                <w:color w:val="22313F"/>
                <w:sz w:val="14"/>
              </w:rPr>
              <w:t>Holds allocation before draw, runs balance/precision check, locks analysis code before unblinding, applies adjudication rule and reports original plus amendments.</w:t>
            </w:r>
          </w:p>
        </w:tc>
      </w:tr>
      <w:tr>
        <w:tc>
          <w:tcPr>
            <w:tcW w:type="dxa" w:w="3168"/>
            <w:shd w:fill="F4F7F9"/>
            <w:vAlign w:val="center"/>
            <w:tcMar>
              <w:top w:w="60" w:type="dxa"/>
              <w:start w:w="70" w:type="dxa"/>
              <w:bottom w:w="60" w:type="dxa"/>
              <w:end w:w="70" w:type="dxa"/>
            </w:tcMar>
          </w:tcPr>
          <w:p>
            <w:pPr>
              <w:spacing w:after="0"/>
            </w:pPr>
            <w:r/>
            <w:r>
              <w:rPr>
                <w:rFonts w:ascii="Aptos" w:hAnsi="Aptos"/>
                <w:b w:val="0"/>
                <w:color w:val="22313F"/>
                <w:sz w:val="14"/>
              </w:rPr>
              <w:t>Security Lead / Incident Commander</w:t>
            </w:r>
          </w:p>
        </w:tc>
        <w:tc>
          <w:tcPr>
            <w:tcW w:type="dxa" w:w="6912"/>
            <w:shd w:fill="F4F7F9"/>
            <w:vAlign w:val="center"/>
            <w:tcMar>
              <w:top w:w="60" w:type="dxa"/>
              <w:start w:w="70" w:type="dxa"/>
              <w:bottom w:w="60" w:type="dxa"/>
              <w:end w:w="70" w:type="dxa"/>
            </w:tcMar>
          </w:tcPr>
          <w:p>
            <w:pPr>
              <w:spacing w:after="0"/>
            </w:pPr>
            <w:r/>
            <w:r>
              <w:rPr>
                <w:rFonts w:ascii="Aptos" w:hAnsi="Aptos"/>
                <w:b w:val="0"/>
                <w:color w:val="22313F"/>
                <w:sz w:val="14"/>
              </w:rPr>
              <w:t>Continuously monitors boundaries; may pause access; owns triage, evidence preservation, investigation and restart recommendation.</w:t>
            </w:r>
          </w:p>
        </w:tc>
      </w:tr>
    </w:tbl>
    <w:p>
      <w:pPr>
        <w:spacing w:after="0"/>
      </w:pPr>
    </w:p>
    <w:p>
      <w:pPr>
        <w:pStyle w:val="Heading1"/>
      </w:pPr>
      <w:r>
        <w:t>Minimum data governance</w:t>
      </w:r>
    </w:p>
    <w:p>
      <w:pPr>
        <w:spacing w:after="60" w:line="240" w:lineRule="auto"/>
      </w:pPr>
      <w:r>
        <w:t>Collect only fields needed for allocation, outcomes, guardrails and audit (pseudonymous user/repository IDs, timestamps, status, incident and permission flags). Role-based access: Access team sees account data; Data Quality sees linked operational data; Analysis receives pseudonymized analytic extracts; Partners receive cluster-aggregated reporting. Linked operational data may remain re-identifiable and is not described as anonymous. Retain linked raw data for 90 days after quarter-end adjudication, then delete; retain approved aggregated report and amendment record for 12 months. Do not export source code, prompts or content into analytic extracts unless required by an incident process.</w:t>
      </w:r>
    </w:p>
    <w:p>
      <w:pPr>
        <w:pStyle w:val="Heading1"/>
      </w:pPr>
      <w:r>
        <w:t>Change control</w:t>
      </w:r>
    </w:p>
    <w:p>
      <w:pPr>
        <w:spacing w:after="60" w:line="240" w:lineRule="auto"/>
      </w:pPr>
      <w:r>
        <w:t>Any post-approval change to metric, threshold, analysis population, allocation, extraction or data rule requires Protocol Custodian version number, rationale, approvers, effective date and disclosure. The original precommitted analysis and disposition remain reportable; amendments are a labelled parallel record, never a replacement.</w:t>
      </w:r>
    </w:p>
    <w:p>
      <w:r>
        <w:br w:type="page"/>
      </w:r>
    </w:p>
    <w:p>
      <w:pPr>
        <w:pStyle w:val="Heading1"/>
      </w:pPr>
      <w:r>
        <w:t>6. Operating calendar and budget logic</w:t>
      </w:r>
    </w:p>
    <w:tbl>
      <w:tblPr>
        <w:tblStyle w:val="TableGrid"/>
        <w:tblW w:type="auto" w:w="0"/>
        <w:jc w:val="center"/>
        <w:tblLayout w:type="fixed"/>
        <w:tblLook w:firstColumn="1" w:firstRow="1" w:lastColumn="0" w:lastRow="0" w:noHBand="0" w:noVBand="1" w:val="04A0"/>
      </w:tblPr>
      <w:tblGrid>
        <w:gridCol w:w="5285"/>
        <w:gridCol w:w="5285"/>
      </w:tblGrid>
      <w:tr>
        <w:trPr>
          <w:tblHeader w:val="true"/>
        </w:trPr>
        <w:tc>
          <w:tcPr>
            <w:tcW w:type="dxa" w:w="3024"/>
            <w:shd w:fill="17324D"/>
            <w:vAlign w:val="center"/>
            <w:tcMar>
              <w:top w:w="60" w:type="dxa"/>
              <w:start w:w="70" w:type="dxa"/>
              <w:bottom w:w="60" w:type="dxa"/>
              <w:end w:w="70" w:type="dxa"/>
            </w:tcMar>
          </w:tcPr>
          <w:p>
            <w:pPr>
              <w:spacing w:after="0"/>
            </w:pPr>
            <w:r/>
            <w:r>
              <w:rPr>
                <w:rFonts w:ascii="Aptos" w:hAnsi="Aptos"/>
                <w:b/>
                <w:color w:val="FFFFFF"/>
                <w:sz w:val="14"/>
              </w:rPr>
              <w:t>Date / window</w:t>
            </w:r>
          </w:p>
        </w:tc>
        <w:tc>
          <w:tcPr>
            <w:tcW w:type="dxa" w:w="7056"/>
            <w:shd w:fill="17324D"/>
            <w:vAlign w:val="center"/>
            <w:tcMar>
              <w:top w:w="60" w:type="dxa"/>
              <w:start w:w="70" w:type="dxa"/>
              <w:bottom w:w="60" w:type="dxa"/>
              <w:end w:w="70" w:type="dxa"/>
            </w:tcMar>
          </w:tcPr>
          <w:p>
            <w:pPr>
              <w:spacing w:after="0"/>
            </w:pPr>
            <w:r/>
            <w:r>
              <w:rPr>
                <w:rFonts w:ascii="Aptos" w:hAnsi="Aptos"/>
                <w:b/>
                <w:color w:val="FFFFFF"/>
                <w:sz w:val="14"/>
              </w:rPr>
              <w:t>Commitment</w:t>
            </w:r>
          </w:p>
        </w:tc>
      </w:tr>
      <w:tr>
        <w:tc>
          <w:tcPr>
            <w:tcW w:type="dxa" w:w="3024"/>
            <w:vAlign w:val="center"/>
            <w:tcMar>
              <w:top w:w="60" w:type="dxa"/>
              <w:start w:w="70" w:type="dxa"/>
              <w:bottom w:w="60" w:type="dxa"/>
              <w:end w:w="70" w:type="dxa"/>
            </w:tcMar>
          </w:tcPr>
          <w:p>
            <w:pPr>
              <w:spacing w:after="0"/>
            </w:pPr>
            <w:r/>
            <w:r>
              <w:rPr>
                <w:rFonts w:ascii="Aptos" w:hAnsi="Aptos"/>
                <w:b w:val="0"/>
                <w:color w:val="22313F"/>
                <w:sz w:val="14"/>
              </w:rPr>
              <w:t>By 14 July 2026</w:t>
            </w:r>
          </w:p>
        </w:tc>
        <w:tc>
          <w:tcPr>
            <w:tcW w:type="dxa" w:w="7056"/>
            <w:vAlign w:val="center"/>
            <w:tcMar>
              <w:top w:w="60" w:type="dxa"/>
              <w:start w:w="70" w:type="dxa"/>
              <w:bottom w:w="60" w:type="dxa"/>
              <w:end w:w="70" w:type="dxa"/>
            </w:tcMar>
          </w:tcPr>
          <w:p>
            <w:pPr>
              <w:spacing w:after="0"/>
            </w:pPr>
            <w:r/>
            <w:r>
              <w:rPr>
                <w:rFonts w:ascii="Aptos" w:hAnsi="Aptos"/>
                <w:b w:val="0"/>
                <w:color w:val="22313F"/>
                <w:sz w:val="14"/>
              </w:rPr>
              <w:t>Complete prior ad hoc-access inventory/removal and reset attestation.</w:t>
            </w:r>
          </w:p>
        </w:tc>
      </w:tr>
      <w:tr>
        <w:tc>
          <w:tcPr>
            <w:tcW w:type="dxa" w:w="3024"/>
            <w:shd w:fill="F4F7F9"/>
            <w:vAlign w:val="center"/>
            <w:tcMar>
              <w:top w:w="60" w:type="dxa"/>
              <w:start w:w="70" w:type="dxa"/>
              <w:bottom w:w="60" w:type="dxa"/>
              <w:end w:w="70" w:type="dxa"/>
            </w:tcMar>
          </w:tcPr>
          <w:p>
            <w:pPr>
              <w:spacing w:after="0"/>
            </w:pPr>
            <w:r/>
            <w:r>
              <w:rPr>
                <w:rFonts w:ascii="Aptos" w:hAnsi="Aptos"/>
                <w:b w:val="0"/>
                <w:color w:val="22313F"/>
                <w:sz w:val="14"/>
              </w:rPr>
              <w:t>15 July–11 October 2026</w:t>
            </w:r>
          </w:p>
        </w:tc>
        <w:tc>
          <w:tcPr>
            <w:tcW w:type="dxa" w:w="7056"/>
            <w:shd w:fill="F4F7F9"/>
            <w:vAlign w:val="center"/>
            <w:tcMar>
              <w:top w:w="60" w:type="dxa"/>
              <w:start w:w="70" w:type="dxa"/>
              <w:bottom w:w="60" w:type="dxa"/>
              <w:end w:w="70" w:type="dxa"/>
            </w:tcMar>
          </w:tcPr>
          <w:p>
            <w:pPr>
              <w:spacing w:after="0"/>
            </w:pPr>
            <w:r/>
            <w:r>
              <w:rPr>
                <w:rFonts w:ascii="Aptos" w:hAnsi="Aptos"/>
                <w:b w:val="0"/>
                <w:color w:val="22313F"/>
                <w:sz w:val="14"/>
              </w:rPr>
              <w:t>Pre-pilot comparison: collect baseline; freeze roster/repository list; build six clusters; pair/match; pre-generate allocation list; check balance and H.</w:t>
            </w:r>
          </w:p>
        </w:tc>
      </w:tr>
      <w:tr>
        <w:tc>
          <w:tcPr>
            <w:tcW w:type="dxa" w:w="3024"/>
            <w:vAlign w:val="center"/>
            <w:tcMar>
              <w:top w:w="60" w:type="dxa"/>
              <w:start w:w="70" w:type="dxa"/>
              <w:bottom w:w="60" w:type="dxa"/>
              <w:end w:w="70" w:type="dxa"/>
            </w:tcMar>
          </w:tcPr>
          <w:p>
            <w:pPr>
              <w:spacing w:after="0"/>
            </w:pPr>
            <w:r/>
            <w:r>
              <w:rPr>
                <w:rFonts w:ascii="Aptos" w:hAnsi="Aptos"/>
                <w:b w:val="0"/>
                <w:color w:val="22313F"/>
                <w:sz w:val="14"/>
              </w:rPr>
              <w:t>12 October 2026</w:t>
            </w:r>
          </w:p>
        </w:tc>
        <w:tc>
          <w:tcPr>
            <w:tcW w:type="dxa" w:w="7056"/>
            <w:vAlign w:val="center"/>
            <w:tcMar>
              <w:top w:w="60" w:type="dxa"/>
              <w:start w:w="70" w:type="dxa"/>
              <w:bottom w:w="60" w:type="dxa"/>
              <w:end w:w="70" w:type="dxa"/>
            </w:tcMar>
          </w:tcPr>
          <w:p>
            <w:pPr>
              <w:spacing w:after="0"/>
            </w:pPr>
            <w:r/>
            <w:r>
              <w:rPr>
                <w:rFonts w:ascii="Aptos" w:hAnsi="Aptos"/>
                <w:b w:val="0"/>
                <w:color w:val="22313F"/>
                <w:sz w:val="14"/>
              </w:rPr>
              <w:t>Partners decide whether the protocol is fit to activate. No access occurs before this date.</w:t>
            </w:r>
          </w:p>
        </w:tc>
      </w:tr>
      <w:tr>
        <w:tc>
          <w:tcPr>
            <w:tcW w:type="dxa" w:w="3024"/>
            <w:shd w:fill="F4F7F9"/>
            <w:vAlign w:val="center"/>
            <w:tcMar>
              <w:top w:w="60" w:type="dxa"/>
              <w:start w:w="70" w:type="dxa"/>
              <w:bottom w:w="60" w:type="dxa"/>
              <w:end w:w="70" w:type="dxa"/>
            </w:tcMar>
          </w:tcPr>
          <w:p>
            <w:pPr>
              <w:spacing w:after="0"/>
            </w:pPr>
            <w:r/>
            <w:r>
              <w:rPr>
                <w:rFonts w:ascii="Aptos" w:hAnsi="Aptos"/>
                <w:b w:val="0"/>
                <w:color w:val="22313F"/>
                <w:sz w:val="14"/>
              </w:rPr>
              <w:t>13 October–9 November 2026</w:t>
            </w:r>
          </w:p>
        </w:tc>
        <w:tc>
          <w:tcPr>
            <w:tcW w:type="dxa" w:w="7056"/>
            <w:shd w:fill="F4F7F9"/>
            <w:vAlign w:val="center"/>
            <w:tcMar>
              <w:top w:w="60" w:type="dxa"/>
              <w:start w:w="70" w:type="dxa"/>
              <w:bottom w:w="60" w:type="dxa"/>
              <w:end w:w="70" w:type="dxa"/>
            </w:tcMar>
          </w:tcPr>
          <w:p>
            <w:pPr>
              <w:spacing w:after="0"/>
            </w:pPr>
            <w:r/>
            <w:r>
              <w:rPr>
                <w:rFonts w:ascii="Aptos" w:hAnsi="Aptos"/>
                <w:b w:val="0"/>
                <w:color w:val="22313F"/>
                <w:sz w:val="14"/>
              </w:rPr>
              <w:t>Funded quarter begins. Governed treatment access after approval; fixed onboarding/ramp-up; safety and implementation monitoring.</w:t>
            </w:r>
          </w:p>
        </w:tc>
      </w:tr>
      <w:tr>
        <w:tc>
          <w:tcPr>
            <w:tcW w:type="dxa" w:w="3024"/>
            <w:vAlign w:val="center"/>
            <w:tcMar>
              <w:top w:w="60" w:type="dxa"/>
              <w:start w:w="70" w:type="dxa"/>
              <w:bottom w:w="60" w:type="dxa"/>
              <w:end w:w="70" w:type="dxa"/>
            </w:tcMar>
          </w:tcPr>
          <w:p>
            <w:pPr>
              <w:spacing w:after="0"/>
            </w:pPr>
            <w:r/>
            <w:r>
              <w:rPr>
                <w:rFonts w:ascii="Aptos" w:hAnsi="Aptos"/>
                <w:b w:val="0"/>
                <w:color w:val="22313F"/>
                <w:sz w:val="14"/>
              </w:rPr>
              <w:t>10 November 2026–12 January 2027</w:t>
            </w:r>
          </w:p>
        </w:tc>
        <w:tc>
          <w:tcPr>
            <w:tcW w:type="dxa" w:w="7056"/>
            <w:vAlign w:val="center"/>
            <w:tcMar>
              <w:top w:w="60" w:type="dxa"/>
              <w:start w:w="70" w:type="dxa"/>
              <w:bottom w:w="60" w:type="dxa"/>
              <w:end w:w="70" w:type="dxa"/>
            </w:tcMar>
          </w:tcPr>
          <w:p>
            <w:pPr>
              <w:spacing w:after="0"/>
            </w:pPr>
            <w:r/>
            <w:r>
              <w:rPr>
                <w:rFonts w:ascii="Aptos" w:hAnsi="Aptos"/>
                <w:b w:val="0"/>
                <w:color w:val="22313F"/>
                <w:sz w:val="14"/>
              </w:rPr>
              <w:t>Steady-state primary measurement in both assigned conditions.</w:t>
            </w:r>
          </w:p>
        </w:tc>
      </w:tr>
      <w:tr>
        <w:tc>
          <w:tcPr>
            <w:tcW w:type="dxa" w:w="3024"/>
            <w:shd w:fill="F4F7F9"/>
            <w:vAlign w:val="center"/>
            <w:tcMar>
              <w:top w:w="60" w:type="dxa"/>
              <w:start w:w="70" w:type="dxa"/>
              <w:bottom w:w="60" w:type="dxa"/>
              <w:end w:w="70" w:type="dxa"/>
            </w:tcMar>
          </w:tcPr>
          <w:p>
            <w:pPr>
              <w:spacing w:after="0"/>
            </w:pPr>
            <w:r/>
            <w:r>
              <w:rPr>
                <w:rFonts w:ascii="Aptos" w:hAnsi="Aptos"/>
                <w:b w:val="0"/>
                <w:color w:val="22313F"/>
                <w:sz w:val="14"/>
              </w:rPr>
              <w:t>13 January–11 February 2027</w:t>
            </w:r>
          </w:p>
        </w:tc>
        <w:tc>
          <w:tcPr>
            <w:tcW w:type="dxa" w:w="7056"/>
            <w:shd w:fill="F4F7F9"/>
            <w:vAlign w:val="center"/>
            <w:tcMar>
              <w:top w:w="60" w:type="dxa"/>
              <w:start w:w="70" w:type="dxa"/>
              <w:bottom w:w="60" w:type="dxa"/>
              <w:end w:w="70" w:type="dxa"/>
            </w:tcMar>
          </w:tcPr>
          <w:p>
            <w:pPr>
              <w:spacing w:after="0"/>
            </w:pPr>
            <w:r/>
            <w:r>
              <w:rPr>
                <w:rFonts w:ascii="Aptos" w:hAnsi="Aptos"/>
                <w:b w:val="0"/>
                <w:color w:val="22313F"/>
                <w:sz w:val="14"/>
              </w:rPr>
              <w:t>30-day defect observation closes for final eligible deployments; lock/report data and adjudicate.</w:t>
            </w:r>
          </w:p>
        </w:tc>
      </w:tr>
    </w:tbl>
    <w:p>
      <w:pPr>
        <w:spacing w:after="0"/>
      </w:pPr>
    </w:p>
    <w:p>
      <w:pPr>
        <w:pStyle w:val="Heading1"/>
      </w:pPr>
      <w:r>
        <w:t>Reproducible planning budget — inputs, not quotations</w:t>
      </w:r>
    </w:p>
    <w:tbl>
      <w:tblPr>
        <w:tblStyle w:val="TableGrid"/>
        <w:tblW w:type="auto" w:w="0"/>
        <w:jc w:val="center"/>
        <w:tblLayout w:type="fixed"/>
        <w:tblLook w:firstColumn="1" w:firstRow="1" w:lastColumn="0" w:lastRow="0" w:noHBand="0" w:noVBand="1" w:val="04A0"/>
      </w:tblPr>
      <w:tblGrid>
        <w:gridCol w:w="5285"/>
        <w:gridCol w:w="5285"/>
      </w:tblGrid>
      <w:tr>
        <w:trPr>
          <w:tblHeader w:val="true"/>
        </w:trPr>
        <w:tc>
          <w:tcPr>
            <w:tcW w:type="dxa" w:w="2376"/>
            <w:shd w:fill="17324D"/>
            <w:vAlign w:val="center"/>
            <w:tcMar>
              <w:top w:w="60" w:type="dxa"/>
              <w:start w:w="70" w:type="dxa"/>
              <w:bottom w:w="60" w:type="dxa"/>
              <w:end w:w="70" w:type="dxa"/>
            </w:tcMar>
          </w:tcPr>
          <w:p>
            <w:pPr>
              <w:spacing w:after="0"/>
            </w:pPr>
            <w:r/>
            <w:r>
              <w:rPr>
                <w:rFonts w:ascii="Aptos" w:hAnsi="Aptos"/>
                <w:b/>
                <w:color w:val="FFFFFF"/>
                <w:sz w:val="15"/>
              </w:rPr>
              <w:t>Component</w:t>
            </w:r>
          </w:p>
        </w:tc>
        <w:tc>
          <w:tcPr>
            <w:tcW w:type="dxa" w:w="7704"/>
            <w:shd w:fill="17324D"/>
            <w:vAlign w:val="center"/>
            <w:tcMar>
              <w:top w:w="60" w:type="dxa"/>
              <w:start w:w="70" w:type="dxa"/>
              <w:bottom w:w="60" w:type="dxa"/>
              <w:end w:w="70" w:type="dxa"/>
            </w:tcMar>
          </w:tcPr>
          <w:p>
            <w:pPr>
              <w:spacing w:after="0"/>
            </w:pPr>
            <w:r/>
            <w:r>
              <w:rPr>
                <w:rFonts w:ascii="Aptos" w:hAnsi="Aptos"/>
                <w:b/>
                <w:color w:val="FFFFFF"/>
                <w:sz w:val="15"/>
              </w:rPr>
              <w:t>Formula / treatment</w:t>
            </w:r>
          </w:p>
        </w:tc>
      </w:tr>
      <w:tr>
        <w:tc>
          <w:tcPr>
            <w:tcW w:type="dxa" w:w="2376"/>
            <w:vAlign w:val="center"/>
            <w:tcMar>
              <w:top w:w="60" w:type="dxa"/>
              <w:start w:w="70" w:type="dxa"/>
              <w:bottom w:w="60" w:type="dxa"/>
              <w:end w:w="70" w:type="dxa"/>
            </w:tcMar>
          </w:tcPr>
          <w:p>
            <w:pPr>
              <w:spacing w:after="0"/>
            </w:pPr>
            <w:r/>
            <w:r>
              <w:rPr>
                <w:rFonts w:ascii="Aptos" w:hAnsi="Aptos"/>
                <w:b w:val="0"/>
                <w:color w:val="22313F"/>
                <w:sz w:val="15"/>
              </w:rPr>
              <w:t>Licences</w:t>
            </w:r>
          </w:p>
        </w:tc>
        <w:tc>
          <w:tcPr>
            <w:tcW w:type="dxa" w:w="7704"/>
            <w:vAlign w:val="center"/>
            <w:tcMar>
              <w:top w:w="60" w:type="dxa"/>
              <w:start w:w="70" w:type="dxa"/>
              <w:bottom w:w="60" w:type="dxa"/>
              <w:end w:w="70" w:type="dxa"/>
            </w:tcMar>
          </w:tcPr>
          <w:p>
            <w:pPr>
              <w:spacing w:after="0"/>
            </w:pPr>
            <w:r/>
            <w:r>
              <w:rPr>
                <w:rFonts w:ascii="Aptos" w:hAnsi="Aptos"/>
                <w:b w:val="0"/>
                <w:color w:val="22313F"/>
                <w:sz w:val="15"/>
              </w:rPr>
              <w:t>N × L × 3, where N = activated named-user licences, L = unknown monthly licence rate, and 3 = months in the funded one-quarter window. N and L are approval-stage inputs; no vendor price is assumed.</w:t>
            </w:r>
          </w:p>
        </w:tc>
      </w:tr>
      <w:tr>
        <w:tc>
          <w:tcPr>
            <w:tcW w:type="dxa" w:w="2376"/>
            <w:shd w:fill="F4F7F9"/>
            <w:vAlign w:val="center"/>
            <w:tcMar>
              <w:top w:w="60" w:type="dxa"/>
              <w:start w:w="70" w:type="dxa"/>
              <w:bottom w:w="60" w:type="dxa"/>
              <w:end w:w="70" w:type="dxa"/>
            </w:tcMar>
          </w:tcPr>
          <w:p>
            <w:pPr>
              <w:spacing w:after="0"/>
            </w:pPr>
            <w:r/>
            <w:r>
              <w:rPr>
                <w:rFonts w:ascii="Aptos" w:hAnsi="Aptos"/>
                <w:b w:val="0"/>
                <w:color w:val="22313F"/>
                <w:sz w:val="15"/>
              </w:rPr>
              <w:t>Enablement</w:t>
            </w:r>
          </w:p>
        </w:tc>
        <w:tc>
          <w:tcPr>
            <w:tcW w:type="dxa" w:w="7704"/>
            <w:shd w:fill="F4F7F9"/>
            <w:vAlign w:val="center"/>
            <w:tcMar>
              <w:top w:w="60" w:type="dxa"/>
              <w:start w:w="70" w:type="dxa"/>
              <w:bottom w:w="60" w:type="dxa"/>
              <w:end w:w="70" w:type="dxa"/>
            </w:tcMar>
          </w:tcPr>
          <w:p>
            <w:pPr>
              <w:spacing w:after="0"/>
            </w:pPr>
            <w:r/>
            <w:r>
              <w:rPr>
                <w:rFonts w:ascii="Aptos" w:hAnsi="Aptos"/>
                <w:b w:val="0"/>
                <w:color w:val="22313F"/>
                <w:sz w:val="15"/>
              </w:rPr>
              <w:t>Henable × Renable: training, access configuration and policy acknowledgement hours × unknown loaded rate.</w:t>
            </w:r>
          </w:p>
        </w:tc>
      </w:tr>
      <w:tr>
        <w:tc>
          <w:tcPr>
            <w:tcW w:type="dxa" w:w="2376"/>
            <w:vAlign w:val="center"/>
            <w:tcMar>
              <w:top w:w="60" w:type="dxa"/>
              <w:start w:w="70" w:type="dxa"/>
              <w:bottom w:w="60" w:type="dxa"/>
              <w:end w:w="70" w:type="dxa"/>
            </w:tcMar>
          </w:tcPr>
          <w:p>
            <w:pPr>
              <w:spacing w:after="0"/>
            </w:pPr>
            <w:r/>
            <w:r>
              <w:rPr>
                <w:rFonts w:ascii="Aptos" w:hAnsi="Aptos"/>
                <w:b w:val="0"/>
                <w:color w:val="22313F"/>
                <w:sz w:val="15"/>
              </w:rPr>
              <w:t>Measurement</w:t>
            </w:r>
          </w:p>
        </w:tc>
        <w:tc>
          <w:tcPr>
            <w:tcW w:type="dxa" w:w="7704"/>
            <w:vAlign w:val="center"/>
            <w:tcMar>
              <w:top w:w="60" w:type="dxa"/>
              <w:start w:w="70" w:type="dxa"/>
              <w:bottom w:w="60" w:type="dxa"/>
              <w:end w:w="70" w:type="dxa"/>
            </w:tcMar>
          </w:tcPr>
          <w:p>
            <w:pPr>
              <w:spacing w:after="0"/>
            </w:pPr>
            <w:r/>
            <w:r>
              <w:rPr>
                <w:rFonts w:ascii="Aptos" w:hAnsi="Aptos"/>
                <w:b w:val="0"/>
                <w:color w:val="22313F"/>
                <w:sz w:val="15"/>
              </w:rPr>
              <w:t>Hmeasure × Rmeasure: extraction, data quality, analysis and reporting hours × unknown loaded rate.</w:t>
            </w:r>
          </w:p>
        </w:tc>
      </w:tr>
      <w:tr>
        <w:tc>
          <w:tcPr>
            <w:tcW w:type="dxa" w:w="2376"/>
            <w:shd w:fill="F4F7F9"/>
            <w:vAlign w:val="center"/>
            <w:tcMar>
              <w:top w:w="60" w:type="dxa"/>
              <w:start w:w="70" w:type="dxa"/>
              <w:bottom w:w="60" w:type="dxa"/>
              <w:end w:w="70" w:type="dxa"/>
            </w:tcMar>
          </w:tcPr>
          <w:p>
            <w:pPr>
              <w:spacing w:after="0"/>
            </w:pPr>
            <w:r/>
            <w:r>
              <w:rPr>
                <w:rFonts w:ascii="Aptos" w:hAnsi="Aptos"/>
                <w:b w:val="0"/>
                <w:color w:val="22313F"/>
                <w:sz w:val="15"/>
              </w:rPr>
              <w:t>Support/security</w:t>
            </w:r>
          </w:p>
        </w:tc>
        <w:tc>
          <w:tcPr>
            <w:tcW w:type="dxa" w:w="7704"/>
            <w:shd w:fill="F4F7F9"/>
            <w:vAlign w:val="center"/>
            <w:tcMar>
              <w:top w:w="60" w:type="dxa"/>
              <w:start w:w="70" w:type="dxa"/>
              <w:bottom w:w="60" w:type="dxa"/>
              <w:end w:w="70" w:type="dxa"/>
            </w:tcMar>
          </w:tcPr>
          <w:p>
            <w:pPr>
              <w:spacing w:after="0"/>
            </w:pPr>
            <w:r/>
            <w:r>
              <w:rPr>
                <w:rFonts w:ascii="Aptos" w:hAnsi="Aptos"/>
                <w:b w:val="0"/>
                <w:color w:val="22313F"/>
                <w:sz w:val="15"/>
              </w:rPr>
              <w:t>Hsupport × Rsupport: support, monitoring, incident readiness and client coordination hours × unknown loaded rate.</w:t>
            </w:r>
          </w:p>
        </w:tc>
      </w:tr>
      <w:tr>
        <w:tc>
          <w:tcPr>
            <w:tcW w:type="dxa" w:w="2376"/>
            <w:vAlign w:val="center"/>
            <w:tcMar>
              <w:top w:w="60" w:type="dxa"/>
              <w:start w:w="70" w:type="dxa"/>
              <w:bottom w:w="60" w:type="dxa"/>
              <w:end w:w="70" w:type="dxa"/>
            </w:tcMar>
          </w:tcPr>
          <w:p>
            <w:pPr>
              <w:spacing w:after="0"/>
            </w:pPr>
            <w:r/>
            <w:r>
              <w:rPr>
                <w:rFonts w:ascii="Aptos" w:hAnsi="Aptos"/>
                <w:b w:val="0"/>
                <w:color w:val="22313F"/>
                <w:sz w:val="15"/>
              </w:rPr>
              <w:t>Total planned pilot cost</w:t>
            </w:r>
          </w:p>
        </w:tc>
        <w:tc>
          <w:tcPr>
            <w:tcW w:type="dxa" w:w="7704"/>
            <w:vAlign w:val="center"/>
            <w:tcMar>
              <w:top w:w="60" w:type="dxa"/>
              <w:start w:w="70" w:type="dxa"/>
              <w:bottom w:w="60" w:type="dxa"/>
              <w:end w:w="70" w:type="dxa"/>
            </w:tcMar>
          </w:tcPr>
          <w:p>
            <w:pPr>
              <w:spacing w:after="0"/>
            </w:pPr>
            <w:r/>
            <w:r>
              <w:rPr>
                <w:rFonts w:ascii="Aptos" w:hAnsi="Aptos"/>
                <w:b w:val="0"/>
                <w:color w:val="22313F"/>
                <w:sz w:val="15"/>
              </w:rPr>
              <w:t>N×L×3 + Henable×Renable + Hmeasure×Rmeasure + Hsupport×Rsupport. Report delivery-cost effect separately only if measured; do not monetize client value, satisfaction or savings without evidence.</w:t>
            </w:r>
          </w:p>
        </w:tc>
      </w:tr>
    </w:tbl>
    <w:p>
      <w:pPr>
        <w:spacing w:after="0"/>
      </w:pPr>
    </w:p>
    <w:p>
      <w:pPr>
        <w:spacing w:after="60" w:line="240" w:lineRule="auto"/>
      </w:pPr>
      <w:r>
        <w:t>Budget approval is for one quarter of licences plus stated enablement, measurement and support inputs. It does not imply a post-quarter purchase. Actual rate cards, licence quantity and effort estimates are attached only when approved as planning inputs.</w:t>
      </w:r>
    </w:p>
    <w:p>
      <w:r>
        <w:br w:type="page"/>
      </w:r>
    </w:p>
    <w:p>
      <w:pPr>
        <w:pStyle w:val="Heading1"/>
      </w:pPr>
      <w:r>
        <w:t>7. Reporting record, limitations and approval boundary</w:t>
      </w:r>
    </w:p>
    <w:p>
      <w:pPr>
        <w:pStyle w:val="Heading1"/>
      </w:pPr>
      <w:r>
        <w:t>Quarter-end report must contain</w:t>
      </w:r>
    </w:p>
    <w:tbl>
      <w:tblPr>
        <w:tblStyle w:val="TableGrid"/>
        <w:tblW w:type="auto" w:w="0"/>
        <w:jc w:val="center"/>
        <w:tblLayout w:type="fixed"/>
        <w:tblLook w:firstColumn="1" w:firstRow="1" w:lastColumn="0" w:lastRow="0" w:noHBand="0" w:noVBand="1" w:val="04A0"/>
      </w:tblPr>
      <w:tblGrid>
        <w:gridCol w:w="5285"/>
        <w:gridCol w:w="5285"/>
      </w:tblGrid>
      <w:tr>
        <w:trPr>
          <w:tblHeader w:val="true"/>
        </w:trPr>
        <w:tc>
          <w:tcPr>
            <w:tcW w:type="dxa" w:w="2376"/>
            <w:shd w:fill="17324D"/>
            <w:vAlign w:val="center"/>
            <w:tcMar>
              <w:top w:w="60" w:type="dxa"/>
              <w:start w:w="70" w:type="dxa"/>
              <w:bottom w:w="60" w:type="dxa"/>
              <w:end w:w="70" w:type="dxa"/>
            </w:tcMar>
          </w:tcPr>
          <w:p>
            <w:pPr>
              <w:spacing w:after="0"/>
            </w:pPr>
            <w:r/>
            <w:r>
              <w:rPr>
                <w:rFonts w:ascii="Aptos" w:hAnsi="Aptos"/>
                <w:b/>
                <w:color w:val="FFFFFF"/>
                <w:sz w:val="15"/>
              </w:rPr>
              <w:t>Record</w:t>
            </w:r>
          </w:p>
        </w:tc>
        <w:tc>
          <w:tcPr>
            <w:tcW w:type="dxa" w:w="7704"/>
            <w:shd w:fill="17324D"/>
            <w:vAlign w:val="center"/>
            <w:tcMar>
              <w:top w:w="60" w:type="dxa"/>
              <w:start w:w="70" w:type="dxa"/>
              <w:bottom w:w="60" w:type="dxa"/>
              <w:end w:w="70" w:type="dxa"/>
            </w:tcMar>
          </w:tcPr>
          <w:p>
            <w:pPr>
              <w:spacing w:after="0"/>
            </w:pPr>
            <w:r/>
            <w:r>
              <w:rPr>
                <w:rFonts w:ascii="Aptos" w:hAnsi="Aptos"/>
                <w:b/>
                <w:color w:val="FFFFFF"/>
                <w:sz w:val="15"/>
              </w:rPr>
              <w:t>Required content</w:t>
            </w:r>
          </w:p>
        </w:tc>
      </w:tr>
      <w:tr>
        <w:tc>
          <w:tcPr>
            <w:tcW w:type="dxa" w:w="2376"/>
            <w:vAlign w:val="center"/>
            <w:tcMar>
              <w:top w:w="60" w:type="dxa"/>
              <w:start w:w="70" w:type="dxa"/>
              <w:bottom w:w="60" w:type="dxa"/>
              <w:end w:w="70" w:type="dxa"/>
            </w:tcMar>
          </w:tcPr>
          <w:p>
            <w:pPr>
              <w:spacing w:after="0"/>
            </w:pPr>
            <w:r/>
            <w:r>
              <w:rPr>
                <w:rFonts w:ascii="Aptos" w:hAnsi="Aptos"/>
                <w:b w:val="0"/>
                <w:color w:val="22313F"/>
                <w:sz w:val="15"/>
              </w:rPr>
              <w:t>Assignment &amp; implementation</w:t>
            </w:r>
          </w:p>
        </w:tc>
        <w:tc>
          <w:tcPr>
            <w:tcW w:type="dxa" w:w="7704"/>
            <w:vAlign w:val="center"/>
            <w:tcMar>
              <w:top w:w="60" w:type="dxa"/>
              <w:start w:w="70" w:type="dxa"/>
              <w:bottom w:w="60" w:type="dxa"/>
              <w:end w:w="70" w:type="dxa"/>
            </w:tcMar>
          </w:tcPr>
          <w:p>
            <w:pPr>
              <w:spacing w:after="0"/>
            </w:pPr>
            <w:r/>
            <w:r>
              <w:rPr>
                <w:rFonts w:ascii="Aptos" w:hAnsi="Aptos"/>
                <w:b w:val="0"/>
                <w:color w:val="22313F"/>
                <w:sz w:val="15"/>
              </w:rPr>
              <w:t>Six-cluster map, matching/draw archive, reset/access reconciliation, meaningful exposure, training, contamination and protocol deviations.</w:t>
            </w:r>
          </w:p>
        </w:tc>
      </w:tr>
      <w:tr>
        <w:tc>
          <w:tcPr>
            <w:tcW w:type="dxa" w:w="2376"/>
            <w:shd w:fill="F4F7F9"/>
            <w:vAlign w:val="center"/>
            <w:tcMar>
              <w:top w:w="60" w:type="dxa"/>
              <w:start w:w="70" w:type="dxa"/>
              <w:bottom w:w="60" w:type="dxa"/>
              <w:end w:w="70" w:type="dxa"/>
            </w:tcMar>
          </w:tcPr>
          <w:p>
            <w:pPr>
              <w:spacing w:after="0"/>
            </w:pPr>
            <w:r/>
            <w:r>
              <w:rPr>
                <w:rFonts w:ascii="Aptos" w:hAnsi="Aptos"/>
                <w:b w:val="0"/>
                <w:color w:val="22313F"/>
                <w:sz w:val="15"/>
              </w:rPr>
              <w:t>Effect evidence</w:t>
            </w:r>
          </w:p>
        </w:tc>
        <w:tc>
          <w:tcPr>
            <w:tcW w:type="dxa" w:w="7704"/>
            <w:shd w:fill="F4F7F9"/>
            <w:vAlign w:val="center"/>
            <w:tcMar>
              <w:top w:w="60" w:type="dxa"/>
              <w:start w:w="70" w:type="dxa"/>
              <w:bottom w:w="60" w:type="dxa"/>
              <w:end w:w="70" w:type="dxa"/>
            </w:tcMar>
          </w:tcPr>
          <w:p>
            <w:pPr>
              <w:spacing w:after="0"/>
            </w:pPr>
            <w:r/>
            <w:r>
              <w:rPr>
                <w:rFonts w:ascii="Aptos" w:hAnsi="Aptos"/>
                <w:b w:val="0"/>
                <w:color w:val="22313F"/>
                <w:sz w:val="15"/>
              </w:rPr>
              <w:t>Primary difference-in-differences estimate in hours, 95% CI, cluster counts, coverage, baseline/steady-state periods, paired sensitivity and all precommitted secondary/diagnostic measures.</w:t>
            </w:r>
          </w:p>
        </w:tc>
      </w:tr>
      <w:tr>
        <w:tc>
          <w:tcPr>
            <w:tcW w:type="dxa" w:w="2376"/>
            <w:vAlign w:val="center"/>
            <w:tcMar>
              <w:top w:w="60" w:type="dxa"/>
              <w:start w:w="70" w:type="dxa"/>
              <w:bottom w:w="60" w:type="dxa"/>
              <w:end w:w="70" w:type="dxa"/>
            </w:tcMar>
          </w:tcPr>
          <w:p>
            <w:pPr>
              <w:spacing w:after="0"/>
            </w:pPr>
            <w:r/>
            <w:r>
              <w:rPr>
                <w:rFonts w:ascii="Aptos" w:hAnsi="Aptos"/>
                <w:b w:val="0"/>
                <w:color w:val="22313F"/>
                <w:sz w:val="15"/>
              </w:rPr>
              <w:t>Guardrails &amp; context</w:t>
            </w:r>
          </w:p>
        </w:tc>
        <w:tc>
          <w:tcPr>
            <w:tcW w:type="dxa" w:w="7704"/>
            <w:vAlign w:val="center"/>
            <w:tcMar>
              <w:top w:w="60" w:type="dxa"/>
              <w:start w:w="70" w:type="dxa"/>
              <w:bottom w:w="60" w:type="dxa"/>
              <w:end w:w="70" w:type="dxa"/>
            </w:tcMar>
          </w:tcPr>
          <w:p>
            <w:pPr>
              <w:spacing w:after="0"/>
            </w:pPr>
            <w:r/>
            <w:r>
              <w:rPr>
                <w:rFonts w:ascii="Aptos" w:hAnsi="Aptos"/>
                <w:b w:val="0"/>
                <w:color w:val="22313F"/>
                <w:sz w:val="15"/>
              </w:rPr>
              <w:t>Quality/client rates and thresholds, security events, 30-day defect censoring, missingness, staffing/repository/work-mix and calendar-event logs.</w:t>
            </w:r>
          </w:p>
        </w:tc>
      </w:tr>
      <w:tr>
        <w:tc>
          <w:tcPr>
            <w:tcW w:type="dxa" w:w="2376"/>
            <w:shd w:fill="F4F7F9"/>
            <w:vAlign w:val="center"/>
            <w:tcMar>
              <w:top w:w="60" w:type="dxa"/>
              <w:start w:w="70" w:type="dxa"/>
              <w:bottom w:w="60" w:type="dxa"/>
              <w:end w:w="70" w:type="dxa"/>
            </w:tcMar>
          </w:tcPr>
          <w:p>
            <w:pPr>
              <w:spacing w:after="0"/>
            </w:pPr>
            <w:r/>
            <w:r>
              <w:rPr>
                <w:rFonts w:ascii="Aptos" w:hAnsi="Aptos"/>
                <w:b w:val="0"/>
                <w:color w:val="22313F"/>
                <w:sz w:val="15"/>
              </w:rPr>
              <w:t>Decision record</w:t>
            </w:r>
          </w:p>
        </w:tc>
        <w:tc>
          <w:tcPr>
            <w:tcW w:type="dxa" w:w="7704"/>
            <w:shd w:fill="F4F7F9"/>
            <w:vAlign w:val="center"/>
            <w:tcMar>
              <w:top w:w="60" w:type="dxa"/>
              <w:start w:w="70" w:type="dxa"/>
              <w:bottom w:w="60" w:type="dxa"/>
              <w:end w:w="70" w:type="dxa"/>
            </w:tcMar>
          </w:tcPr>
          <w:p>
            <w:pPr>
              <w:spacing w:after="0"/>
            </w:pPr>
            <w:r/>
            <w:r>
              <w:rPr>
                <w:rFonts w:ascii="Aptos" w:hAnsi="Aptos"/>
                <w:b w:val="0"/>
                <w:color w:val="22313F"/>
                <w:sz w:val="15"/>
              </w:rPr>
              <w:t>Ordered-rule inputs and disposition, non-evaluable reasons if any, amendments with original result, budget inputs/actuals, and limits on causal interpretation.</w:t>
            </w:r>
          </w:p>
        </w:tc>
      </w:tr>
    </w:tbl>
    <w:p>
      <w:pPr>
        <w:spacing w:after="0"/>
      </w:pPr>
    </w:p>
    <w:p>
      <w:pPr>
        <w:pStyle w:val="Heading1"/>
      </w:pPr>
      <w:r>
        <w:t>Known design limits</w:t>
      </w:r>
    </w:p>
    <w:p>
      <w:pPr>
        <w:pStyle w:val="ListBullet"/>
        <w:spacing w:after="20"/>
        <w:ind w:left="259" w:hanging="173"/>
      </w:pPr>
      <w:r>
        <w:t>Six allocation clusters provide a credible concurrent comparator but restrict precision and generalizability; the pre-activation H gate prevents pretending otherwise.</w:t>
      </w:r>
    </w:p>
    <w:p>
      <w:pPr>
        <w:pStyle w:val="ListBullet"/>
        <w:spacing w:after="20"/>
        <w:ind w:left="259" w:hanging="173"/>
      </w:pPr>
      <w:r>
        <w:t>Matching on seniority, client setting and codebase age supports comparability but cannot eliminate confounding, especially where client/project mix changes.</w:t>
      </w:r>
    </w:p>
    <w:p>
      <w:pPr>
        <w:pStyle w:val="ListBullet"/>
        <w:spacing w:after="20"/>
        <w:ind w:left="259" w:hanging="173"/>
      </w:pPr>
      <w:r>
        <w:t>The pilot estimates governed assignment during one quarter. Usage, self-selection and shared-work spillovers are implementation facts, not proof of a different causal effect.</w:t>
      </w:r>
    </w:p>
    <w:p>
      <w:pPr>
        <w:pStyle w:val="ListBullet"/>
        <w:spacing w:after="20"/>
        <w:ind w:left="259" w:hanging="173"/>
      </w:pPr>
      <w:r>
        <w:t>No historical variance, telemetry schema, vendor quotation, client-specific policy, client savings or performance result has been supplied. This record therefore uses formulas and decision variables, not invented facts.</w:t>
      </w:r>
    </w:p>
    <w:p>
      <w:pPr>
        <w:pStyle w:val="Heading1"/>
      </w:pPr>
      <w:r>
        <w:t>Approval boundary for 12 October</w:t>
      </w:r>
    </w:p>
    <w:p>
      <w:pPr>
        <w:spacing w:after="60" w:line="240" w:lineRule="auto"/>
      </w:pPr>
      <w:r>
        <w:t>Partners are asked to approve this controlled pilot design: the scope of eleven squads, baseline and one-quarter dates, six-cluster matched allocation, primary outcome and −8.0-hour / 95% CI rule, guardrails, non-evaluable path, security pause authority, data controls and formula-based budget. The decision is only whether this design can be activated to produce usable evidence. It is not approval to adopt an assistant, select a vendor, or roll it out enterprise-wide.</w:t>
      </w:r>
    </w:p>
    <w:sectPr w:rsidR="00FC693F" w:rsidRPr="0006063C" w:rsidSect="00034616">
      <w:headerReference w:type="default" r:id="rId9"/>
      <w:footerReference w:type="default" r:id="rId10"/>
      <w:pgSz w:w="12240" w:h="15840"/>
      <w:pgMar w:top="749" w:right="835" w:bottom="720"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Internal • Controlled version 1.0 • 12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8A8A"/>
        <w:sz w:val="15"/>
      </w:rPr>
      <w:t>DALEFIELD ALLIANCE  /  CONTROLLED DESIGN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2313F"/>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60"/>
      <w:outlineLvl w:val="0"/>
    </w:pPr>
    <w:rPr>
      <w:rFonts w:asciiTheme="majorHAnsi" w:eastAsiaTheme="majorEastAsia" w:hAnsiTheme="majorHAnsi" w:cstheme="majorBidi" w:ascii="Aptos Display" w:hAnsi="Aptos Display"/>
      <w:b/>
      <w:bCs/>
      <w:color w:val="17324D"/>
      <w:sz w:val="28"/>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majorHAnsi" w:eastAsiaTheme="majorEastAsia" w:hAnsiTheme="majorHAnsi" w:cstheme="majorBidi" w:ascii="Aptos Display" w:hAnsi="Aptos Display"/>
      <w:b/>
      <w:bCs/>
      <w:color w:val="008A8A"/>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00"/>
      <w:contextualSpacing/>
    </w:pPr>
    <w:rPr>
      <w:rFonts w:asciiTheme="majorHAnsi" w:eastAsiaTheme="majorEastAsia" w:hAnsiTheme="majorHAnsi" w:cstheme="majorBidi" w:ascii="Aptos Display" w:hAnsi="Aptos Display"/>
      <w:b/>
      <w:color w:val="17324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