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0"/>
        </w:rPr>
        <w:t>Saltmarsh Energy — fatigue and staged-trial evidence</w:t>
      </w:r>
    </w:p>
    <w:p>
      <w:pPr>
        <w:spacing w:after="100"/>
      </w:pPr>
      <w:r>
        <w:rPr>
          <w:b/>
          <w:color w:val="646464"/>
          <w:sz w:val="18"/>
        </w:rPr>
        <w:t>GLASSMERE TERMINALS  |  BOARD BRIEF</w:t>
      </w:r>
    </w:p>
    <w:p>
      <w:r>
        <w:t>Prepared for Glassmere Terminals contracting and legal review | 06 March 2026</w:t>
      </w:r>
    </w:p>
    <w:p>
      <w:pPr>
        <w:pStyle w:val="Heading1"/>
      </w:pPr>
      <w:r>
        <w:t>Measured accelerated-fatigue result</w:t>
      </w:r>
    </w:p>
    <w:p>
      <w:r>
        <w:t>Saltmarsh tested 12 alternate elastic rail clips at 1.5× the nominal service load for 2.0 million cycles. All 12 completed the test without fracture or loss of retention. This is evidence of performance under the stated accelerated condition; it is not proof of equivalent field life.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Observed result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Population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12 clips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FAT-01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Applied condition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1.5× nominal service load; 2.0 million cycles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FAT-01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Outcome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12/12 completed; no fracture or loss of retention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FAT-02</w:t>
            </w:r>
          </w:p>
        </w:tc>
      </w:tr>
    </w:tbl>
    <w:p>
      <w:pPr>
        <w:pStyle w:val="Heading1"/>
      </w:pPr>
      <w:r>
        <w:t>Service-history comparison</w:t>
      </w:r>
    </w:p>
    <w:p>
      <w:r>
        <w:t>The alternate has 7.3 years of relevant in-track history; the incumbent has 31.8 years. The shorter alternate record remains a material uncertainty for an approval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Saltmarsh alternate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7.3 years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HIST-01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Current incumbent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31.8 years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HIST-01</w:t>
            </w:r>
          </w:p>
        </w:tc>
      </w:tr>
    </w:tbl>
    <w:p>
      <w:pPr>
        <w:pStyle w:val="Heading1"/>
      </w:pPr>
      <w:r>
        <w:t>Proposed staged Glassmere trial</w:t>
      </w:r>
    </w:p>
    <w:p>
      <w:r>
        <w:t>The proposal is a bounded path to gather field evidence while retaining escalation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Stage / timing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Control point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Acceptance / escalation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07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Reference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Stage 1 — 0–30 days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Baseline fit-up inspection; photograph rail seat and clip position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Accept if fit-up checklist complete; escalate any damage or misfit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Lucia Jelinek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TRIAL-01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Stage 2 — 31–90 days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30-day and 90-day inspections; record retention and visible wear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Continue if no loss of retention and wear record is complete; stop and review on deviation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Mateo Ainsworth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TRIAL-02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Stage 3 — 91–180 days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End-of-trial condition review and evidence pack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Recommend alternate listing only after review of records and unresolved verification sample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Mateo Ainsworth / Lucia Jelinek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7"/>
              </w:rPr>
              <w:t>TRIAL-03</w:t>
            </w:r>
          </w:p>
        </w:tc>
      </w:tr>
    </w:tbl>
    <w:p>
      <w:pPr>
        <w:pStyle w:val="Heading1"/>
      </w:pPr>
      <w:r>
        <w:t>Commercial context</w:t>
      </w:r>
    </w:p>
    <w:p>
      <w:r>
        <w:t>Supplied unit rate: USD 18.47 per clip. The rate is for the clip supply only; installation, inspection, and trial administration are outside this quoted unit rate. (COMM-01)</w:t>
      </w:r>
    </w:p>
    <w:p>
      <w:pPr>
        <w:pStyle w:val="Heading1"/>
      </w:pPr>
      <w:r>
        <w:t>Limitations</w:t>
      </w:r>
    </w:p>
    <w:p>
      <w:r>
        <w:t>Accelerated testing does not establish equivalent field life. Service-history data are durations, not a reliability guarantee. Trial timing and gates above are proposed controls, subject to Glassmere confirmation.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