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BRANTHAM PUBLIC-RECORDS AUTHORITIES</w:t>
      </w:r>
    </w:p>
    <w:p>
      <w:pPr>
        <w:jc w:val="center"/>
      </w:pPr>
      <w:r>
        <w:rPr>
          <w:i/>
          <w:sz w:val="20"/>
        </w:rPr>
        <w:t>Internal authority bundle • prepared 12 August 2024</w:t>
      </w:r>
    </w:p>
    <w:p>
      <w:pPr>
        <w:keepLines/>
      </w:pPr>
      <w:r>
        <w:t>Purpose. This bundle assembles the extracts used for the Commission’s public-records training. It is self-contained; citations in the position memorandum use the section and page markers below. It is not a policy or legal opinion.</w:t>
      </w:r>
    </w:p>
    <w:p>
      <w:pPr>
        <w:keepLines/>
      </w:pPr>
      <w:r>
        <w:t>Comparison periods. Period 1 (P1) is the 15 January 2021 statutory baseline. Period 2 (P2) is the 30 June 2024 text after the amendments and interpretations identified in this bundle. “P1” and “P2” in a citation refer to those snapshots.</w:t>
      </w:r>
    </w:p>
    <w:p>
      <w:pPr>
        <w:pStyle w:val="Heading1"/>
      </w:pPr>
      <w:r>
        <w:t>A. Member-state act extracts</w:t>
      </w:r>
    </w:p>
    <w:p>
      <w:pPr>
        <w:keepLines/>
      </w:pPr>
      <w:r>
        <w:t>All nine acts begin with a presumption that records of a public body are open. Each places the justification for withholding on the agency and requires disclosure of reasonably segregable nonexempt material. The extracts below are condensed but verbatim in operative effect; bracketed page markers are stable bundle locators.</w:t>
      </w:r>
    </w:p>
    <w:tbl>
      <w:tblPr>
        <w:tblStyle w:val="TableGrid"/>
        <w:tblW w:type="auto" w:w="0"/>
        <w:jc w:val="center"/>
        <w:tblLook w:firstColumn="1" w:firstRow="1" w:lastColumn="0" w:lastRow="0" w:noHBand="0" w:noVBand="1" w:val="04A0"/>
      </w:tblPr>
      <w:tblGrid>
        <w:gridCol w:w="1975"/>
        <w:gridCol w:w="1975"/>
        <w:gridCol w:w="1975"/>
        <w:gridCol w:w="1975"/>
        <w:gridCol w:w="1975"/>
        <w:gridCol w:w="1975"/>
        <w:gridCol w:w="1975"/>
      </w:tblGrid>
      <w:tr>
        <w:trPr>
          <w:tblHeader w:val="true"/>
        </w:trPr>
        <w:tc>
          <w:tcPr>
            <w:tcW w:type="dxa" w:w="1975"/>
            <w:shd w:fill="D9EAF7"/>
          </w:tcPr>
          <w:p>
            <w:pPr>
              <w:spacing w:after="0"/>
            </w:pPr>
            <w:r/>
            <w:r>
              <w:rPr>
                <w:rFonts w:ascii="Arial" w:hAnsi="Arial"/>
                <w:b/>
                <w:sz w:val="16"/>
              </w:rPr>
              <w:t>State / act locator</w:t>
            </w:r>
          </w:p>
        </w:tc>
        <w:tc>
          <w:tcPr>
            <w:tcW w:type="dxa" w:w="1975"/>
            <w:shd w:fill="D9EAF7"/>
          </w:tcPr>
          <w:p>
            <w:pPr>
              <w:spacing w:after="0"/>
            </w:pPr>
            <w:r/>
            <w:r>
              <w:rPr>
                <w:rFonts w:ascii="Arial" w:hAnsi="Arial"/>
                <w:b/>
                <w:sz w:val="16"/>
              </w:rPr>
              <w:t>General rule</w:t>
            </w:r>
          </w:p>
        </w:tc>
        <w:tc>
          <w:tcPr>
            <w:tcW w:type="dxa" w:w="1975"/>
            <w:shd w:fill="D9EAF7"/>
          </w:tcPr>
          <w:p>
            <w:pPr>
              <w:spacing w:after="0"/>
            </w:pPr>
            <w:r/>
            <w:r>
              <w:rPr>
                <w:rFonts w:ascii="Arial" w:hAnsi="Arial"/>
                <w:b/>
                <w:sz w:val="16"/>
              </w:rPr>
              <w:t>Deliberative process</w:t>
            </w:r>
          </w:p>
        </w:tc>
        <w:tc>
          <w:tcPr>
            <w:tcW w:type="dxa" w:w="1975"/>
            <w:shd w:fill="D9EAF7"/>
          </w:tcPr>
          <w:p>
            <w:pPr>
              <w:spacing w:after="0"/>
            </w:pPr>
            <w:r/>
            <w:r>
              <w:rPr>
                <w:rFonts w:ascii="Arial" w:hAnsi="Arial"/>
                <w:b/>
                <w:sz w:val="16"/>
              </w:rPr>
              <w:t>Attorney / work product</w:t>
            </w:r>
          </w:p>
        </w:tc>
        <w:tc>
          <w:tcPr>
            <w:tcW w:type="dxa" w:w="1975"/>
            <w:shd w:fill="D9EAF7"/>
          </w:tcPr>
          <w:p>
            <w:pPr>
              <w:spacing w:after="0"/>
            </w:pPr>
            <w:r/>
            <w:r>
              <w:rPr>
                <w:rFonts w:ascii="Arial" w:hAnsi="Arial"/>
                <w:b/>
                <w:sz w:val="16"/>
              </w:rPr>
              <w:t>Personnel / medical</w:t>
            </w:r>
          </w:p>
        </w:tc>
        <w:tc>
          <w:tcPr>
            <w:tcW w:type="dxa" w:w="1975"/>
            <w:shd w:fill="D9EAF7"/>
          </w:tcPr>
          <w:p>
            <w:pPr>
              <w:spacing w:after="0"/>
            </w:pPr>
            <w:r/>
            <w:r>
              <w:rPr>
                <w:rFonts w:ascii="Arial" w:hAnsi="Arial"/>
                <w:b/>
                <w:sz w:val="16"/>
              </w:rPr>
              <w:t>Infrastructure security</w:t>
            </w:r>
          </w:p>
        </w:tc>
        <w:tc>
          <w:tcPr>
            <w:tcW w:type="dxa" w:w="1975"/>
            <w:shd w:fill="D9EAF7"/>
          </w:tcPr>
          <w:p>
            <w:pPr>
              <w:spacing w:after="0"/>
            </w:pPr>
            <w:r/>
            <w:r>
              <w:rPr>
                <w:rFonts w:ascii="Arial" w:hAnsi="Arial"/>
                <w:b/>
                <w:sz w:val="16"/>
              </w:rPr>
              <w:t>Trade secret / commercial</w:t>
            </w:r>
          </w:p>
        </w:tc>
      </w:tr>
      <w:tr>
        <w:tc>
          <w:tcPr>
            <w:tcW w:type="dxa" w:w="1975"/>
            <w:vAlign w:val="top"/>
          </w:tcPr>
          <w:p>
            <w:pPr>
              <w:spacing w:after="0"/>
            </w:pPr>
            <w:r/>
            <w:r>
              <w:rPr>
                <w:rFonts w:ascii="Arial" w:hAnsi="Arial"/>
                <w:b w:val="0"/>
                <w:sz w:val="14"/>
              </w:rPr>
              <w:t>Alderfen\nAlderfen Open Records Act §12-101 (P1 p.2; P2 p.2)</w:t>
            </w:r>
          </w:p>
        </w:tc>
        <w:tc>
          <w:tcPr>
            <w:tcW w:type="dxa" w:w="1975"/>
            <w:vAlign w:val="top"/>
          </w:tcPr>
          <w:p>
            <w:pPr>
              <w:spacing w:after="0"/>
            </w:pPr>
            <w:r/>
            <w:r>
              <w:rPr>
                <w:rFonts w:ascii="Arial" w:hAnsi="Arial"/>
                <w:b w:val="0"/>
                <w:sz w:val="14"/>
              </w:rPr>
              <w:t>Open unless a specific exemption applies; agency must identify the exemption.</w:t>
            </w:r>
          </w:p>
        </w:tc>
        <w:tc>
          <w:tcPr>
            <w:tcW w:type="dxa" w:w="1975"/>
            <w:vAlign w:val="top"/>
          </w:tcPr>
          <w:p>
            <w:pPr>
              <w:spacing w:after="0"/>
            </w:pPr>
            <w:r/>
            <w:r>
              <w:rPr>
                <w:rFonts w:ascii="Arial" w:hAnsi="Arial"/>
                <w:b w:val="0"/>
                <w:sz w:val="14"/>
              </w:rPr>
              <w:t>P1/P2: §12-114 permits withholding of predecisional recommendations and drafts; segregable factual material remains open.</w:t>
            </w:r>
          </w:p>
        </w:tc>
        <w:tc>
          <w:tcPr>
            <w:tcW w:type="dxa" w:w="1975"/>
            <w:vAlign w:val="top"/>
          </w:tcPr>
          <w:p>
            <w:pPr>
              <w:spacing w:after="0"/>
            </w:pPr>
            <w:r/>
            <w:r>
              <w:rPr>
                <w:rFonts w:ascii="Arial" w:hAnsi="Arial"/>
                <w:b w:val="0"/>
                <w:sz w:val="14"/>
              </w:rPr>
              <w:t>P1/P2: §12-117 protects confidential legal advice and attorney work product prepared for the agency; ordinary policy emails are not covered.</w:t>
            </w:r>
          </w:p>
        </w:tc>
        <w:tc>
          <w:tcPr>
            <w:tcW w:type="dxa" w:w="1975"/>
            <w:vAlign w:val="top"/>
          </w:tcPr>
          <w:p>
            <w:pPr>
              <w:spacing w:after="0"/>
            </w:pPr>
            <w:r/>
            <w:r>
              <w:rPr>
                <w:rFonts w:ascii="Arial" w:hAnsi="Arial"/>
                <w:b w:val="0"/>
                <w:sz w:val="14"/>
              </w:rPr>
              <w:t>P1: personnel files protected only where disclosure is a clearly unwarranted invasion; medical details redacted. P2: §12-121 makes medical information confidential, personnel privacy balancing unchanged.</w:t>
            </w:r>
          </w:p>
        </w:tc>
        <w:tc>
          <w:tcPr>
            <w:tcW w:type="dxa" w:w="1975"/>
            <w:vAlign w:val="top"/>
          </w:tcPr>
          <w:p>
            <w:pPr>
              <w:spacing w:after="0"/>
            </w:pPr>
            <w:r/>
            <w:r>
              <w:rPr>
                <w:rFonts w:ascii="Arial" w:hAnsi="Arial"/>
                <w:b w:val="0"/>
                <w:sz w:val="14"/>
              </w:rPr>
              <w:t>P1/P2: §12-119 protects vulnerability assessments, access controls, and detailed water-system security plans; general locations and budgets open.</w:t>
            </w:r>
          </w:p>
        </w:tc>
        <w:tc>
          <w:tcPr>
            <w:tcW w:type="dxa" w:w="1975"/>
            <w:vAlign w:val="top"/>
          </w:tcPr>
          <w:p>
            <w:pPr>
              <w:spacing w:after="0"/>
            </w:pPr>
            <w:r/>
            <w:r>
              <w:rPr>
                <w:rFonts w:ascii="Arial" w:hAnsi="Arial"/>
                <w:b w:val="0"/>
                <w:sz w:val="14"/>
              </w:rPr>
              <w:t>P1/P2: §12-122 protects trade secrets and commercial data only when independently secret, competitively valuable, and supplied under a written confidentiality request.</w:t>
            </w:r>
          </w:p>
        </w:tc>
      </w:tr>
      <w:tr>
        <w:tc>
          <w:tcPr>
            <w:tcW w:type="dxa" w:w="1975"/>
            <w:vAlign w:val="top"/>
          </w:tcPr>
          <w:p>
            <w:pPr>
              <w:spacing w:after="0"/>
            </w:pPr>
            <w:r/>
            <w:r>
              <w:rPr>
                <w:rFonts w:ascii="Arial" w:hAnsi="Arial"/>
                <w:b w:val="0"/>
                <w:sz w:val="14"/>
              </w:rPr>
              <w:t>Bellwether\nBellwether Records Act §4-201 (P1 p.3; P2 p.3)</w:t>
            </w:r>
          </w:p>
        </w:tc>
        <w:tc>
          <w:tcPr>
            <w:tcW w:type="dxa" w:w="1975"/>
            <w:vAlign w:val="top"/>
          </w:tcPr>
          <w:p>
            <w:pPr>
              <w:spacing w:after="0"/>
            </w:pPr>
            <w:r/>
            <w:r>
              <w:rPr>
                <w:rFonts w:ascii="Arial" w:hAnsi="Arial"/>
                <w:b w:val="0"/>
                <w:sz w:val="14"/>
              </w:rPr>
              <w:t>Access is the rule; custodian bears burden and must cite a subsection.</w:t>
            </w:r>
          </w:p>
        </w:tc>
        <w:tc>
          <w:tcPr>
            <w:tcW w:type="dxa" w:w="1975"/>
            <w:vAlign w:val="top"/>
          </w:tcPr>
          <w:p>
            <w:pPr>
              <w:spacing w:after="0"/>
            </w:pPr>
            <w:r/>
            <w:r>
              <w:rPr>
                <w:rFonts w:ascii="Arial" w:hAnsi="Arial"/>
                <w:b w:val="0"/>
                <w:sz w:val="14"/>
              </w:rPr>
              <w:t>P1/P2: §4-208 covers interagency recommendations made before a decision; factual studies are not deliberative.</w:t>
            </w:r>
          </w:p>
        </w:tc>
        <w:tc>
          <w:tcPr>
            <w:tcW w:type="dxa" w:w="1975"/>
            <w:vAlign w:val="top"/>
          </w:tcPr>
          <w:p>
            <w:pPr>
              <w:spacing w:after="0"/>
            </w:pPr>
            <w:r/>
            <w:r>
              <w:rPr>
                <w:rFonts w:ascii="Arial" w:hAnsi="Arial"/>
                <w:b w:val="0"/>
                <w:sz w:val="14"/>
              </w:rPr>
              <w:t>P1: §4-210 protects attorney-client communications. P2 amendment adds work product, but only litigation-oriented analysis; protection is permissive (“may withhold”).</w:t>
            </w:r>
          </w:p>
        </w:tc>
        <w:tc>
          <w:tcPr>
            <w:tcW w:type="dxa" w:w="1975"/>
            <w:vAlign w:val="top"/>
          </w:tcPr>
          <w:p>
            <w:pPr>
              <w:spacing w:after="0"/>
            </w:pPr>
            <w:r/>
            <w:r>
              <w:rPr>
                <w:rFonts w:ascii="Arial" w:hAnsi="Arial"/>
                <w:b w:val="0"/>
                <w:sz w:val="14"/>
              </w:rPr>
              <w:t>P1/P2: employee home contact and medical information may be redacted; disciplinary findings are generally open after final action.</w:t>
            </w:r>
          </w:p>
        </w:tc>
        <w:tc>
          <w:tcPr>
            <w:tcW w:type="dxa" w:w="1975"/>
            <w:vAlign w:val="top"/>
          </w:tcPr>
          <w:p>
            <w:pPr>
              <w:spacing w:after="0"/>
            </w:pPr>
            <w:r/>
            <w:r>
              <w:rPr>
                <w:rFonts w:ascii="Arial" w:hAnsi="Arial"/>
                <w:b w:val="0"/>
                <w:sz w:val="14"/>
              </w:rPr>
              <w:t>P1/P2: §4-213 protects operational schematics and cyber-response details whose release would facilitate attack; not routine maintenance records.</w:t>
            </w:r>
          </w:p>
        </w:tc>
        <w:tc>
          <w:tcPr>
            <w:tcW w:type="dxa" w:w="1975"/>
            <w:vAlign w:val="top"/>
          </w:tcPr>
          <w:p>
            <w:pPr>
              <w:spacing w:after="0"/>
            </w:pPr>
            <w:r/>
            <w:r>
              <w:rPr>
                <w:rFonts w:ascii="Arial" w:hAnsi="Arial"/>
                <w:b w:val="0"/>
                <w:sz w:val="14"/>
              </w:rPr>
              <w:t>P1/P2: §4-214 requires proof of secrecy measures and likely competitive harm; submitter label is evidence, not conclusive.</w:t>
            </w:r>
          </w:p>
        </w:tc>
      </w:tr>
      <w:tr>
        <w:tc>
          <w:tcPr>
            <w:tcW w:type="dxa" w:w="1975"/>
            <w:vAlign w:val="top"/>
          </w:tcPr>
          <w:p>
            <w:pPr>
              <w:spacing w:after="0"/>
            </w:pPr>
            <w:r/>
            <w:r>
              <w:rPr>
                <w:rFonts w:ascii="Arial" w:hAnsi="Arial"/>
                <w:b w:val="0"/>
                <w:sz w:val="14"/>
              </w:rPr>
              <w:t>Cedarvale\nCedarvale Transparency Code §7-301 (P1 p.4; P2 p.4)</w:t>
            </w:r>
          </w:p>
        </w:tc>
        <w:tc>
          <w:tcPr>
            <w:tcW w:type="dxa" w:w="1975"/>
            <w:vAlign w:val="top"/>
          </w:tcPr>
          <w:p>
            <w:pPr>
              <w:spacing w:after="0"/>
            </w:pPr>
            <w:r/>
            <w:r>
              <w:rPr>
                <w:rFonts w:ascii="Arial" w:hAnsi="Arial"/>
                <w:b w:val="0"/>
                <w:sz w:val="14"/>
              </w:rPr>
              <w:t>Public-body records are presumed open; exemptions are narrowly read and the body must justify each redaction.</w:t>
            </w:r>
          </w:p>
        </w:tc>
        <w:tc>
          <w:tcPr>
            <w:tcW w:type="dxa" w:w="1975"/>
            <w:vAlign w:val="top"/>
          </w:tcPr>
          <w:p>
            <w:pPr>
              <w:spacing w:after="0"/>
            </w:pPr>
            <w:r/>
            <w:r>
              <w:rPr>
                <w:rFonts w:ascii="Arial" w:hAnsi="Arial"/>
                <w:b w:val="0"/>
                <w:sz w:val="14"/>
              </w:rPr>
              <w:t>P1/P2: §7-309 expressly protects recommendations, options, and evaluative drafts before final action; raw data must be separated.</w:t>
            </w:r>
          </w:p>
        </w:tc>
        <w:tc>
          <w:tcPr>
            <w:tcW w:type="dxa" w:w="1975"/>
            <w:vAlign w:val="top"/>
          </w:tcPr>
          <w:p>
            <w:pPr>
              <w:spacing w:after="0"/>
            </w:pPr>
            <w:r/>
            <w:r>
              <w:rPr>
                <w:rFonts w:ascii="Arial" w:hAnsi="Arial"/>
                <w:b w:val="0"/>
                <w:sz w:val="14"/>
              </w:rPr>
              <w:t>P1/P2: §7-312 covers confidential advice from counsel and litigation work product; copying advice to non-client vendors may waive protection under §7-312(c).</w:t>
            </w:r>
          </w:p>
        </w:tc>
        <w:tc>
          <w:tcPr>
            <w:tcW w:type="dxa" w:w="1975"/>
            <w:vAlign w:val="top"/>
          </w:tcPr>
          <w:p>
            <w:pPr>
              <w:spacing w:after="0"/>
            </w:pPr>
            <w:r/>
            <w:r>
              <w:rPr>
                <w:rFonts w:ascii="Arial" w:hAnsi="Arial"/>
                <w:b w:val="0"/>
                <w:sz w:val="14"/>
              </w:rPr>
              <w:t>P1/P2: §7-315 protects medical information and intimate personal facts; personnel evaluations are protected only while candid and current, then subject to balancing.</w:t>
            </w:r>
          </w:p>
        </w:tc>
        <w:tc>
          <w:tcPr>
            <w:tcW w:type="dxa" w:w="1975"/>
            <w:vAlign w:val="top"/>
          </w:tcPr>
          <w:p>
            <w:pPr>
              <w:spacing w:after="0"/>
            </w:pPr>
            <w:r/>
            <w:r>
              <w:rPr>
                <w:rFonts w:ascii="Arial" w:hAnsi="Arial"/>
                <w:b w:val="0"/>
                <w:sz w:val="14"/>
              </w:rPr>
              <w:t>P1/P2: §7-318 protects specific vulnerabilities in dams, treatment plants, and control networks; high-level resilience plans are open.</w:t>
            </w:r>
          </w:p>
        </w:tc>
        <w:tc>
          <w:tcPr>
            <w:tcW w:type="dxa" w:w="1975"/>
            <w:vAlign w:val="top"/>
          </w:tcPr>
          <w:p>
            <w:pPr>
              <w:spacing w:after="0"/>
            </w:pPr>
            <w:r/>
            <w:r>
              <w:rPr>
                <w:rFonts w:ascii="Arial" w:hAnsi="Arial"/>
                <w:b w:val="0"/>
                <w:sz w:val="14"/>
              </w:rPr>
              <w:t>P1: §7-320 protects trade secrets if owner demonstrates secrecy and value. P2 adds notice to the owner but does not make notice dispositive.</w:t>
            </w:r>
          </w:p>
        </w:tc>
      </w:tr>
      <w:tr>
        <w:tc>
          <w:tcPr>
            <w:tcW w:type="dxa" w:w="1975"/>
            <w:vAlign w:val="top"/>
          </w:tcPr>
          <w:p>
            <w:pPr>
              <w:spacing w:after="0"/>
            </w:pPr>
            <w:r/>
            <w:r>
              <w:rPr>
                <w:rFonts w:ascii="Arial" w:hAnsi="Arial"/>
                <w:b w:val="0"/>
                <w:sz w:val="14"/>
              </w:rPr>
              <w:t>Dunshire\nDunshire Public Information Act §9-401 (P1 p.5; P2 p.5)</w:t>
            </w:r>
          </w:p>
        </w:tc>
        <w:tc>
          <w:tcPr>
            <w:tcW w:type="dxa" w:w="1975"/>
            <w:vAlign w:val="top"/>
          </w:tcPr>
          <w:p>
            <w:pPr>
              <w:spacing w:after="0"/>
            </w:pPr>
            <w:r/>
            <w:r>
              <w:rPr>
                <w:rFonts w:ascii="Arial" w:hAnsi="Arial"/>
                <w:b w:val="0"/>
                <w:sz w:val="14"/>
              </w:rPr>
              <w:t>Records are available on request; the agency must make a particularized showing for an exemption.</w:t>
            </w:r>
          </w:p>
        </w:tc>
        <w:tc>
          <w:tcPr>
            <w:tcW w:type="dxa" w:w="1975"/>
            <w:vAlign w:val="top"/>
          </w:tcPr>
          <w:p>
            <w:pPr>
              <w:spacing w:after="0"/>
            </w:pPr>
            <w:r/>
            <w:r>
              <w:rPr>
                <w:rFonts w:ascii="Arial" w:hAnsi="Arial"/>
                <w:b w:val="0"/>
                <w:sz w:val="14"/>
              </w:rPr>
              <w:t>No deliberative-process exemption in P1 or P2. §9-407 says draft status alone is not a basis to withhold.</w:t>
            </w:r>
          </w:p>
        </w:tc>
        <w:tc>
          <w:tcPr>
            <w:tcW w:type="dxa" w:w="1975"/>
            <w:vAlign w:val="top"/>
          </w:tcPr>
          <w:p>
            <w:pPr>
              <w:spacing w:after="0"/>
            </w:pPr>
            <w:r/>
            <w:r>
              <w:rPr>
                <w:rFonts w:ascii="Arial" w:hAnsi="Arial"/>
                <w:b w:val="0"/>
                <w:sz w:val="14"/>
              </w:rPr>
              <w:t>P1/P2: §9-409 protects attorney-client communications and work product only if kept confidential and tied to legal advice or litigation; business advice is open.</w:t>
            </w:r>
          </w:p>
        </w:tc>
        <w:tc>
          <w:tcPr>
            <w:tcW w:type="dxa" w:w="1975"/>
            <w:vAlign w:val="top"/>
          </w:tcPr>
          <w:p>
            <w:pPr>
              <w:spacing w:after="0"/>
            </w:pPr>
            <w:r/>
            <w:r>
              <w:rPr>
                <w:rFonts w:ascii="Arial" w:hAnsi="Arial"/>
                <w:b w:val="0"/>
                <w:sz w:val="14"/>
              </w:rPr>
              <w:t>P1/P2: §9-412 protects medical information; ordinary personnel records are open except personal identifiers and medical details.</w:t>
            </w:r>
          </w:p>
        </w:tc>
        <w:tc>
          <w:tcPr>
            <w:tcW w:type="dxa" w:w="1975"/>
            <w:vAlign w:val="top"/>
          </w:tcPr>
          <w:p>
            <w:pPr>
              <w:spacing w:after="0"/>
            </w:pPr>
            <w:r/>
            <w:r>
              <w:rPr>
                <w:rFonts w:ascii="Arial" w:hAnsi="Arial"/>
                <w:b w:val="0"/>
                <w:sz w:val="14"/>
              </w:rPr>
              <w:t>P1/P2: §9-414 protects security plans and vulnerability details, but not factual incident logs after the threat passes.</w:t>
            </w:r>
          </w:p>
        </w:tc>
        <w:tc>
          <w:tcPr>
            <w:tcW w:type="dxa" w:w="1975"/>
            <w:vAlign w:val="top"/>
          </w:tcPr>
          <w:p>
            <w:pPr>
              <w:spacing w:after="0"/>
            </w:pPr>
            <w:r/>
            <w:r>
              <w:rPr>
                <w:rFonts w:ascii="Arial" w:hAnsi="Arial"/>
                <w:b w:val="0"/>
                <w:sz w:val="14"/>
              </w:rPr>
              <w:t>P1/P2: §9-416 protects trade secrets and confidential commercial information when secrecy, value, and likely harm are shown; agency decides, not submitter.</w:t>
            </w:r>
          </w:p>
        </w:tc>
      </w:tr>
      <w:tr>
        <w:tc>
          <w:tcPr>
            <w:tcW w:type="dxa" w:w="1975"/>
            <w:vAlign w:val="top"/>
          </w:tcPr>
          <w:p>
            <w:pPr>
              <w:spacing w:after="0"/>
            </w:pPr>
            <w:r/>
            <w:r>
              <w:rPr>
                <w:rFonts w:ascii="Arial" w:hAnsi="Arial"/>
                <w:b w:val="0"/>
                <w:sz w:val="14"/>
              </w:rPr>
              <w:t>Eastmere\nEastmere Access Act §3-501 (P1 p.6; P2 p.6)</w:t>
            </w:r>
          </w:p>
        </w:tc>
        <w:tc>
          <w:tcPr>
            <w:tcW w:type="dxa" w:w="1975"/>
            <w:vAlign w:val="top"/>
          </w:tcPr>
          <w:p>
            <w:pPr>
              <w:spacing w:after="0"/>
            </w:pPr>
            <w:r/>
            <w:r>
              <w:rPr>
                <w:rFonts w:ascii="Arial" w:hAnsi="Arial"/>
                <w:b w:val="0"/>
                <w:sz w:val="14"/>
              </w:rPr>
              <w:t>Open by default; withholding requires a cited statutory ground and a segregability review.</w:t>
            </w:r>
          </w:p>
        </w:tc>
        <w:tc>
          <w:tcPr>
            <w:tcW w:type="dxa" w:w="1975"/>
            <w:vAlign w:val="top"/>
          </w:tcPr>
          <w:p>
            <w:pPr>
              <w:spacing w:after="0"/>
            </w:pPr>
            <w:r/>
            <w:r>
              <w:rPr>
                <w:rFonts w:ascii="Arial" w:hAnsi="Arial"/>
                <w:b w:val="0"/>
                <w:sz w:val="14"/>
              </w:rPr>
              <w:t>P1: §3-508 protects predecisional policy analysis. P2 narrows it to recommendations still under active consideration; completed recommendations are open.</w:t>
            </w:r>
          </w:p>
        </w:tc>
        <w:tc>
          <w:tcPr>
            <w:tcW w:type="dxa" w:w="1975"/>
            <w:vAlign w:val="top"/>
          </w:tcPr>
          <w:p>
            <w:pPr>
              <w:spacing w:after="0"/>
            </w:pPr>
            <w:r/>
            <w:r>
              <w:rPr>
                <w:rFonts w:ascii="Arial" w:hAnsi="Arial"/>
                <w:b w:val="0"/>
                <w:sz w:val="14"/>
              </w:rPr>
              <w:t>P1/P2: §3-510 protects legal advice and work product; a lawyer’s presence is not enough.</w:t>
            </w:r>
          </w:p>
        </w:tc>
        <w:tc>
          <w:tcPr>
            <w:tcW w:type="dxa" w:w="1975"/>
            <w:vAlign w:val="top"/>
          </w:tcPr>
          <w:p>
            <w:pPr>
              <w:spacing w:after="0"/>
            </w:pPr>
            <w:r/>
            <w:r>
              <w:rPr>
                <w:rFonts w:ascii="Arial" w:hAnsi="Arial"/>
                <w:b w:val="0"/>
                <w:sz w:val="14"/>
              </w:rPr>
              <w:t>P1/P2: §3-512 protects medical information and narrowly defined personal identifiers; final discipline and salary ranges open.</w:t>
            </w:r>
          </w:p>
        </w:tc>
        <w:tc>
          <w:tcPr>
            <w:tcW w:type="dxa" w:w="1975"/>
            <w:vAlign w:val="top"/>
          </w:tcPr>
          <w:p>
            <w:pPr>
              <w:spacing w:after="0"/>
            </w:pPr>
            <w:r/>
            <w:r>
              <w:rPr>
                <w:rFonts w:ascii="Arial" w:hAnsi="Arial"/>
                <w:b w:val="0"/>
                <w:sz w:val="14"/>
              </w:rPr>
              <w:t>P1/P2: §3-514 protects detailed security assessments and exploit information; generic infrastructure descriptions open.</w:t>
            </w:r>
          </w:p>
        </w:tc>
        <w:tc>
          <w:tcPr>
            <w:tcW w:type="dxa" w:w="1975"/>
            <w:vAlign w:val="top"/>
          </w:tcPr>
          <w:p>
            <w:pPr>
              <w:spacing w:after="0"/>
            </w:pPr>
            <w:r/>
            <w:r>
              <w:rPr>
                <w:rFonts w:ascii="Arial" w:hAnsi="Arial"/>
                <w:b w:val="0"/>
                <w:sz w:val="14"/>
              </w:rPr>
              <w:t>P1/P2: §3-516 protects secret formulas, pricing, and methods if owner takes reasonable measures and harm is likely; designation must be specific.</w:t>
            </w:r>
          </w:p>
        </w:tc>
      </w:tr>
      <w:tr>
        <w:tc>
          <w:tcPr>
            <w:tcW w:type="dxa" w:w="1975"/>
            <w:vAlign w:val="top"/>
          </w:tcPr>
          <w:p>
            <w:pPr>
              <w:spacing w:after="0"/>
            </w:pPr>
            <w:r/>
            <w:r>
              <w:rPr>
                <w:rFonts w:ascii="Arial" w:hAnsi="Arial"/>
                <w:b w:val="0"/>
                <w:sz w:val="14"/>
              </w:rPr>
              <w:t>Foxgrove\nFoxgrove Public Records Act §5-601 (P1 p.7; P2 p.7)</w:t>
            </w:r>
          </w:p>
        </w:tc>
        <w:tc>
          <w:tcPr>
            <w:tcW w:type="dxa" w:w="1975"/>
            <w:vAlign w:val="top"/>
          </w:tcPr>
          <w:p>
            <w:pPr>
              <w:spacing w:after="0"/>
            </w:pPr>
            <w:r/>
            <w:r>
              <w:rPr>
                <w:rFonts w:ascii="Arial" w:hAnsi="Arial"/>
                <w:b w:val="0"/>
                <w:sz w:val="14"/>
              </w:rPr>
              <w:t>Access is presumed; agency bears the justification burden and cannot rely on a blanket category.</w:t>
            </w:r>
          </w:p>
        </w:tc>
        <w:tc>
          <w:tcPr>
            <w:tcW w:type="dxa" w:w="1975"/>
            <w:vAlign w:val="top"/>
          </w:tcPr>
          <w:p>
            <w:pPr>
              <w:spacing w:after="0"/>
            </w:pPr>
            <w:r/>
            <w:r>
              <w:rPr>
                <w:rFonts w:ascii="Arial" w:hAnsi="Arial"/>
                <w:b w:val="0"/>
                <w:sz w:val="14"/>
              </w:rPr>
              <w:t>P1/P2: §5-607 protects staff recommendations and draft options linked to a pending decision; factual appendices are open.</w:t>
            </w:r>
          </w:p>
        </w:tc>
        <w:tc>
          <w:tcPr>
            <w:tcW w:type="dxa" w:w="1975"/>
            <w:vAlign w:val="top"/>
          </w:tcPr>
          <w:p>
            <w:pPr>
              <w:spacing w:after="0"/>
            </w:pPr>
            <w:r/>
            <w:r>
              <w:rPr>
                <w:rFonts w:ascii="Arial" w:hAnsi="Arial"/>
                <w:b w:val="0"/>
                <w:sz w:val="14"/>
              </w:rPr>
              <w:t>P1/P2: §5-609 protects privileged communications and work product; disclosure to a project partner outside the legal team can waive it.</w:t>
            </w:r>
          </w:p>
        </w:tc>
        <w:tc>
          <w:tcPr>
            <w:tcW w:type="dxa" w:w="1975"/>
            <w:vAlign w:val="top"/>
          </w:tcPr>
          <w:p>
            <w:pPr>
              <w:spacing w:after="0"/>
            </w:pPr>
            <w:r/>
            <w:r>
              <w:rPr>
                <w:rFonts w:ascii="Arial" w:hAnsi="Arial"/>
                <w:b w:val="0"/>
                <w:sz w:val="14"/>
              </w:rPr>
              <w:t>P1/P2: §5-611 protects medical records and personal financial identifiers; personnel evaluations are conditionally protected while active.</w:t>
            </w:r>
          </w:p>
        </w:tc>
        <w:tc>
          <w:tcPr>
            <w:tcW w:type="dxa" w:w="1975"/>
            <w:vAlign w:val="top"/>
          </w:tcPr>
          <w:p>
            <w:pPr>
              <w:spacing w:after="0"/>
            </w:pPr>
            <w:r/>
            <w:r>
              <w:rPr>
                <w:rFonts w:ascii="Arial" w:hAnsi="Arial"/>
                <w:b w:val="0"/>
                <w:sz w:val="14"/>
              </w:rPr>
              <w:t>P1/P2: §5-613 protects information that reveals a specific exploitable weakness in critical water infrastructure.</w:t>
            </w:r>
          </w:p>
        </w:tc>
        <w:tc>
          <w:tcPr>
            <w:tcW w:type="dxa" w:w="1975"/>
            <w:vAlign w:val="top"/>
          </w:tcPr>
          <w:p>
            <w:pPr>
              <w:spacing w:after="0"/>
            </w:pPr>
            <w:r/>
            <w:r>
              <w:rPr>
                <w:rFonts w:ascii="Arial" w:hAnsi="Arial"/>
                <w:b w:val="0"/>
                <w:sz w:val="14"/>
              </w:rPr>
              <w:t>P1/P2: §5-615 protects trade secrets only upon a showing of secrecy and competitive injury; a confidentiality stamp alone is insufficient.</w:t>
            </w:r>
          </w:p>
        </w:tc>
      </w:tr>
      <w:tr>
        <w:tc>
          <w:tcPr>
            <w:tcW w:type="dxa" w:w="1975"/>
            <w:vAlign w:val="top"/>
          </w:tcPr>
          <w:p>
            <w:pPr>
              <w:spacing w:after="0"/>
            </w:pPr>
            <w:r/>
            <w:r>
              <w:rPr>
                <w:rFonts w:ascii="Arial" w:hAnsi="Arial"/>
                <w:b w:val="0"/>
                <w:sz w:val="14"/>
              </w:rPr>
              <w:t>Greyhaven\nGreyhaven Public Access Act §8-701 (P1 p.8; P2 p.8)</w:t>
            </w:r>
          </w:p>
        </w:tc>
        <w:tc>
          <w:tcPr>
            <w:tcW w:type="dxa" w:w="1975"/>
            <w:vAlign w:val="top"/>
          </w:tcPr>
          <w:p>
            <w:pPr>
              <w:spacing w:after="0"/>
            </w:pPr>
            <w:r/>
            <w:r>
              <w:rPr>
                <w:rFonts w:ascii="Arial" w:hAnsi="Arial"/>
                <w:b w:val="0"/>
                <w:sz w:val="14"/>
              </w:rPr>
              <w:t>Public records are open unless the custodian proves a defined exemption; partial release is required where feasible.</w:t>
            </w:r>
          </w:p>
        </w:tc>
        <w:tc>
          <w:tcPr>
            <w:tcW w:type="dxa" w:w="1975"/>
            <w:vAlign w:val="top"/>
          </w:tcPr>
          <w:p>
            <w:pPr>
              <w:spacing w:after="0"/>
            </w:pPr>
            <w:r/>
            <w:r>
              <w:rPr>
                <w:rFonts w:ascii="Arial" w:hAnsi="Arial"/>
                <w:b w:val="0"/>
                <w:sz w:val="14"/>
              </w:rPr>
              <w:t>P1/P2: §8-708 protects predecisional deliberations and draft recommendations; objective factual material must be released.</w:t>
            </w:r>
          </w:p>
        </w:tc>
        <w:tc>
          <w:tcPr>
            <w:tcW w:type="dxa" w:w="1975"/>
            <w:vAlign w:val="top"/>
          </w:tcPr>
          <w:p>
            <w:pPr>
              <w:spacing w:after="0"/>
            </w:pPr>
            <w:r/>
            <w:r>
              <w:rPr>
                <w:rFonts w:ascii="Arial" w:hAnsi="Arial"/>
                <w:b w:val="0"/>
                <w:sz w:val="14"/>
              </w:rPr>
              <w:t>P1: §8-710 protects attorney-client communications. P2 opinion AG-24-03 reads §8-710 to include work product, but the text remains permissive.</w:t>
            </w:r>
          </w:p>
        </w:tc>
        <w:tc>
          <w:tcPr>
            <w:tcW w:type="dxa" w:w="1975"/>
            <w:vAlign w:val="top"/>
          </w:tcPr>
          <w:p>
            <w:pPr>
              <w:spacing w:after="0"/>
            </w:pPr>
            <w:r/>
            <w:r>
              <w:rPr>
                <w:rFonts w:ascii="Arial" w:hAnsi="Arial"/>
                <w:b w:val="0"/>
                <w:sz w:val="14"/>
              </w:rPr>
              <w:t>P1/P2: §8-712 protects medical information and personal identifiers; general employment history is open.</w:t>
            </w:r>
          </w:p>
        </w:tc>
        <w:tc>
          <w:tcPr>
            <w:tcW w:type="dxa" w:w="1975"/>
            <w:vAlign w:val="top"/>
          </w:tcPr>
          <w:p>
            <w:pPr>
              <w:spacing w:after="0"/>
            </w:pPr>
            <w:r/>
            <w:r>
              <w:rPr>
                <w:rFonts w:ascii="Arial" w:hAnsi="Arial"/>
                <w:b w:val="0"/>
                <w:sz w:val="14"/>
              </w:rPr>
              <w:t>P1/P2: §8-714 protects detailed maps, access credentials, and vulnerability information; summary resilience goals are open.</w:t>
            </w:r>
          </w:p>
        </w:tc>
        <w:tc>
          <w:tcPr>
            <w:tcW w:type="dxa" w:w="1975"/>
            <w:vAlign w:val="top"/>
          </w:tcPr>
          <w:p>
            <w:pPr>
              <w:spacing w:after="0"/>
            </w:pPr>
            <w:r/>
            <w:r>
              <w:rPr>
                <w:rFonts w:ascii="Arial" w:hAnsi="Arial"/>
                <w:b w:val="0"/>
                <w:sz w:val="14"/>
              </w:rPr>
              <w:t>P1/P2: §8-716 protects confidential commercial information when the owner proves secrecy and substantial competitive harm; agency must test the proof.</w:t>
            </w:r>
          </w:p>
        </w:tc>
      </w:tr>
      <w:tr>
        <w:tc>
          <w:tcPr>
            <w:tcW w:type="dxa" w:w="1975"/>
            <w:vAlign w:val="top"/>
          </w:tcPr>
          <w:p>
            <w:pPr>
              <w:spacing w:after="0"/>
            </w:pPr>
            <w:r/>
            <w:r>
              <w:rPr>
                <w:rFonts w:ascii="Arial" w:hAnsi="Arial"/>
                <w:b w:val="0"/>
                <w:sz w:val="14"/>
              </w:rPr>
              <w:t>Hartsfield\nHartsfield Government Records Act §2-801 (P1 p.9; P2 p.9)</w:t>
            </w:r>
          </w:p>
        </w:tc>
        <w:tc>
          <w:tcPr>
            <w:tcW w:type="dxa" w:w="1975"/>
            <w:vAlign w:val="top"/>
          </w:tcPr>
          <w:p>
            <w:pPr>
              <w:spacing w:after="0"/>
            </w:pPr>
            <w:r/>
            <w:r>
              <w:rPr>
                <w:rFonts w:ascii="Arial" w:hAnsi="Arial"/>
                <w:b w:val="0"/>
                <w:sz w:val="14"/>
              </w:rPr>
              <w:t>Records are presumed public; an exemption must be specific, limited, and supported by the agency.</w:t>
            </w:r>
          </w:p>
        </w:tc>
        <w:tc>
          <w:tcPr>
            <w:tcW w:type="dxa" w:w="1975"/>
            <w:vAlign w:val="top"/>
          </w:tcPr>
          <w:p>
            <w:pPr>
              <w:spacing w:after="0"/>
            </w:pPr>
            <w:r/>
            <w:r>
              <w:rPr>
                <w:rFonts w:ascii="Arial" w:hAnsi="Arial"/>
                <w:b w:val="0"/>
                <w:sz w:val="14"/>
              </w:rPr>
              <w:t>P1/P2: §2-806 protects deliberative recommendations and draft policy positions, but not purely factual compilations.</w:t>
            </w:r>
          </w:p>
        </w:tc>
        <w:tc>
          <w:tcPr>
            <w:tcW w:type="dxa" w:w="1975"/>
            <w:vAlign w:val="top"/>
          </w:tcPr>
          <w:p>
            <w:pPr>
              <w:spacing w:after="0"/>
            </w:pPr>
            <w:r/>
            <w:r>
              <w:rPr>
                <w:rFonts w:ascii="Arial" w:hAnsi="Arial"/>
                <w:b w:val="0"/>
                <w:sz w:val="14"/>
              </w:rPr>
              <w:t>P1/P2: §2-808 protects legal advice and work product; waiver follows disclosure to persons outside the representation.</w:t>
            </w:r>
          </w:p>
        </w:tc>
        <w:tc>
          <w:tcPr>
            <w:tcW w:type="dxa" w:w="1975"/>
            <w:vAlign w:val="top"/>
          </w:tcPr>
          <w:p>
            <w:pPr>
              <w:spacing w:after="0"/>
            </w:pPr>
            <w:r/>
            <w:r>
              <w:rPr>
                <w:rFonts w:ascii="Arial" w:hAnsi="Arial"/>
                <w:b w:val="0"/>
                <w:sz w:val="14"/>
              </w:rPr>
              <w:t>P1/P2: §2-810 protects medical and personally identifying information; personnel files receive no blanket exemption.</w:t>
            </w:r>
          </w:p>
        </w:tc>
        <w:tc>
          <w:tcPr>
            <w:tcW w:type="dxa" w:w="1975"/>
            <w:vAlign w:val="top"/>
          </w:tcPr>
          <w:p>
            <w:pPr>
              <w:spacing w:after="0"/>
            </w:pPr>
            <w:r/>
            <w:r>
              <w:rPr>
                <w:rFonts w:ascii="Arial" w:hAnsi="Arial"/>
                <w:b w:val="0"/>
                <w:sz w:val="14"/>
              </w:rPr>
              <w:t>P1/P2: §2-812 protects security-sensitive designs, response playbooks, and vulnerability findings; ordinary project status is open.</w:t>
            </w:r>
          </w:p>
        </w:tc>
        <w:tc>
          <w:tcPr>
            <w:tcW w:type="dxa" w:w="1975"/>
            <w:vAlign w:val="top"/>
          </w:tcPr>
          <w:p>
            <w:pPr>
              <w:spacing w:after="0"/>
            </w:pPr>
            <w:r/>
            <w:r>
              <w:rPr>
                <w:rFonts w:ascii="Arial" w:hAnsi="Arial"/>
                <w:b w:val="0"/>
                <w:sz w:val="14"/>
              </w:rPr>
              <w:t>P1/P2: §2-814 protects trade secrets and confidential commercial information on a specific showing of secrecy and harm; submitter request is not controlling.</w:t>
            </w:r>
          </w:p>
        </w:tc>
      </w:tr>
      <w:tr>
        <w:tc>
          <w:tcPr>
            <w:tcW w:type="dxa" w:w="1975"/>
            <w:vAlign w:val="top"/>
          </w:tcPr>
          <w:p>
            <w:pPr>
              <w:spacing w:after="0"/>
            </w:pPr>
            <w:r/>
            <w:r>
              <w:rPr>
                <w:rFonts w:ascii="Arial" w:hAnsi="Arial"/>
                <w:b w:val="0"/>
                <w:sz w:val="14"/>
              </w:rPr>
              <w:t>Ironwood\nIronwood Public Records Code §6-901 (P1 p.10; P2 p.10)</w:t>
            </w:r>
          </w:p>
        </w:tc>
        <w:tc>
          <w:tcPr>
            <w:tcW w:type="dxa" w:w="1975"/>
            <w:vAlign w:val="top"/>
          </w:tcPr>
          <w:p>
            <w:pPr>
              <w:spacing w:after="0"/>
            </w:pPr>
            <w:r/>
            <w:r>
              <w:rPr>
                <w:rFonts w:ascii="Arial" w:hAnsi="Arial"/>
                <w:b w:val="0"/>
                <w:sz w:val="14"/>
              </w:rPr>
              <w:t>Open access is presumed and any withholding must be tied to the code; segregable portions must be released.</w:t>
            </w:r>
          </w:p>
        </w:tc>
        <w:tc>
          <w:tcPr>
            <w:tcW w:type="dxa" w:w="1975"/>
            <w:vAlign w:val="top"/>
          </w:tcPr>
          <w:p>
            <w:pPr>
              <w:spacing w:after="0"/>
            </w:pPr>
            <w:r/>
            <w:r>
              <w:rPr>
                <w:rFonts w:ascii="Arial" w:hAnsi="Arial"/>
                <w:b w:val="0"/>
                <w:sz w:val="14"/>
              </w:rPr>
              <w:t>P1/P2: §6-907 protects predecisional analyses and recommendations; drafts containing only measurements are not covered.</w:t>
            </w:r>
          </w:p>
        </w:tc>
        <w:tc>
          <w:tcPr>
            <w:tcW w:type="dxa" w:w="1975"/>
            <w:vAlign w:val="top"/>
          </w:tcPr>
          <w:p>
            <w:pPr>
              <w:spacing w:after="0"/>
            </w:pPr>
            <w:r/>
            <w:r>
              <w:rPr>
                <w:rFonts w:ascii="Arial" w:hAnsi="Arial"/>
                <w:b w:val="0"/>
                <w:sz w:val="14"/>
              </w:rPr>
              <w:t>P1/P2: §6-909 protects attorney-client and work-product material maintained confidentially; routine project communications remain open.</w:t>
            </w:r>
          </w:p>
        </w:tc>
        <w:tc>
          <w:tcPr>
            <w:tcW w:type="dxa" w:w="1975"/>
            <w:vAlign w:val="top"/>
          </w:tcPr>
          <w:p>
            <w:pPr>
              <w:spacing w:after="0"/>
            </w:pPr>
            <w:r/>
            <w:r>
              <w:rPr>
                <w:rFonts w:ascii="Arial" w:hAnsi="Arial"/>
                <w:b w:val="0"/>
                <w:sz w:val="14"/>
              </w:rPr>
              <w:t>P1/P2: §6-911 protects medical information and narrowly tailored privacy interests; final employee discipline is open.</w:t>
            </w:r>
          </w:p>
        </w:tc>
        <w:tc>
          <w:tcPr>
            <w:tcW w:type="dxa" w:w="1975"/>
            <w:vAlign w:val="top"/>
          </w:tcPr>
          <w:p>
            <w:pPr>
              <w:spacing w:after="0"/>
            </w:pPr>
            <w:r/>
            <w:r>
              <w:rPr>
                <w:rFonts w:ascii="Arial" w:hAnsi="Arial"/>
                <w:b w:val="0"/>
                <w:sz w:val="14"/>
              </w:rPr>
              <w:t>P1/P2: §6-913 protects information whose release would expose a specific vulnerability in water or control infrastructure; high-level plans open.</w:t>
            </w:r>
          </w:p>
        </w:tc>
        <w:tc>
          <w:tcPr>
            <w:tcW w:type="dxa" w:w="1975"/>
            <w:vAlign w:val="top"/>
          </w:tcPr>
          <w:p>
            <w:pPr>
              <w:spacing w:after="0"/>
            </w:pPr>
            <w:r/>
            <w:r>
              <w:rPr>
                <w:rFonts w:ascii="Arial" w:hAnsi="Arial"/>
                <w:b w:val="0"/>
                <w:sz w:val="14"/>
              </w:rPr>
              <w:t>P1/P2: §6-915 protects trade secrets where secrecy, value, and likely competitive harm are established; label alone does not decide.</w:t>
            </w:r>
          </w:p>
        </w:tc>
      </w:tr>
    </w:tbl>
    <w:p>
      <w:pPr>
        <w:keepLines/>
      </w:pPr>
      <w:r>
        <w:rPr>
          <w:b/>
        </w:rPr>
        <w:t>Reading note:</w:t>
      </w:r>
      <w:r>
        <w:t xml:space="preserve"> “may withhold” is permissive; “must protect/confidential” is mandatory within the stated conditions. All extracts require segregation. The act excerpts are binding statutory text for their state; they do not by themselves dictate the Commission’s compact-level rule.</w:t>
      </w:r>
    </w:p>
    <w:p>
      <w:pPr>
        <w:pStyle w:val="Heading1"/>
      </w:pPr>
      <w:r>
        <w:t>B. Attorney-general opinions (persuasive)</w:t>
      </w:r>
    </w:p>
    <w:p>
      <w:pPr>
        <w:keepLines/>
      </w:pPr>
      <w:r>
        <w:t>AG-21-02 (Alderfen, 3 Mar 2021), pp.11–12. A draft model is a record when it has been used to communicate an agency position or support a decision; draft label alone does not remove it from the act. Deliberative protection may still cover recommendations, not underlying measurements.</w:t>
      </w:r>
    </w:p>
    <w:p>
      <w:pPr>
        <w:keepLines/>
      </w:pPr>
      <w:r>
        <w:t>AG-22-07 (Dunshire, 18 Oct 2022), pp.13–14. Construes §9-407 narrowly: a working file that never leaves the analyst’s control and contains no adopted communication is not a public record. Once transmitted for agency decision, it is a record; Dunshire has no deliberative exemption.</w:t>
      </w:r>
    </w:p>
    <w:p>
      <w:pPr>
        <w:keepLines/>
      </w:pPr>
      <w:r>
        <w:t>AG-23-05 (Cedarvale, 9 May 2023), pp.15–16. A confidentiality stamp from a vendor is not dispositive. The agency must test statutory secrecy, value, and harm; redact only the qualifying commercial portion.</w:t>
      </w:r>
    </w:p>
    <w:p>
      <w:pPr>
        <w:keepLines/>
      </w:pPr>
      <w:r>
        <w:t>AG-24-03 (Greyhaven, 22 Apr 2024), pp.17–18. Reads §8-710 to include attorney work product, but describes the protection as discretionary and warns that business advice is not privileged. Opinion is persuasive, not binding outside Greyhaven.</w:t>
      </w:r>
    </w:p>
    <w:p>
      <w:pPr>
        <w:pStyle w:val="Heading1"/>
      </w:pPr>
      <w:r>
        <w:t>C. Appellate decisions on Compact confidentiality clause</w:t>
      </w:r>
    </w:p>
    <w:p>
      <w:pPr>
        <w:keepLines/>
      </w:pPr>
      <w:r>
        <w:t>Rillwater Commission v. Northbank Press, 41 B.I.W.C. App. 18 (P1, 16 Sept 2021), pp.19–21 (Northbank). Holding: the clause (“information furnished to the Commission in confidence shall be protected from disclosure”) is an independent compact promise. For material genuinely furnished in confidence, the Commission must withhold even where a member-state act would otherwise permit access. The court stressed the negotiated interstate text and the word “shall.” It did not decide every record category; its discussion of state exemptions is explanatory dicta.</w:t>
      </w:r>
    </w:p>
    <w:p>
      <w:pPr>
        <w:keepLines/>
      </w:pPr>
      <w:r>
        <w:t>South Fork Gazette v. Brantham Commission, 47 B.I.W.C. App. 77 (P2, 2 Feb 2024), pp.22–24 (South Fork). Holding: the clause is a direction to apply the governing disclosure law, not a blanket exemption. “In confidence” describes handling, while “shall be protected” operates only where a state-law exemption or other lawful ground exists. The court relied on the compact’s savings language and warned that an agency cannot create secrecy by labeling a record confidential. Its statement that Northbank overread the clause is binding only in the South Fork appeal; broader reconciliation is explanatory.</w:t>
      </w:r>
    </w:p>
    <w:p>
      <w:pPr>
        <w:keepLines/>
      </w:pPr>
      <w:r>
        <w:t>Conflict marker. Both decisions assume genuine confidential submission, but assign different work to the same clause: Northbank treats the clause as an independent mandatory shield; South Fork treats it as conditional on an underlying lawful exemption. The textual pull is “shall/protected” versus the savings language and anti-labeling concern. The bundle provides no later en banc resolution.</w:t>
      </w:r>
    </w:p>
    <w:p>
      <w:pPr>
        <w:pStyle w:val="Heading1"/>
      </w:pPr>
      <w:r>
        <w:t>D. Third-party project records</w:t>
      </w:r>
    </w:p>
    <w:p>
      <w:pPr>
        <w:keepLines/>
      </w:pPr>
      <w:r>
        <w:t>Cobblemoor Mutual supplied flood-loss scenarios and pricing assumptions under a written confidentiality request (P1 file note, p.25). Brightcastle Health Network supplied de-identified health-impact summaries and a redacted patient-safety annex for the resilience project (P2 file note, p.26). The notes state that the Commission retains custody and disclosure authority; neither organisation may veto a request. Apply the relevant statutory commercial, privacy, security, or privilege test to the content. Provenance alone is not an exemption.</w:t>
      </w:r>
    </w:p>
    <w:p>
      <w:pPr>
        <w:keepLines/>
      </w:pPr>
      <w:r>
        <w:t>Bundle citation key: cite the act as “State Act §section (P1/P2, bundle p.x)”; opinions as “AG-year-number (bundle pp.x–y)”; cases by short name and reporter/page (bundle pp.x–y).</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2F559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