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Distribution stakeholder record</w:t>
      </w:r>
    </w:p>
    <w:p>
      <w:pPr>
        <w:jc w:val="center"/>
      </w:pPr>
      <w:r>
        <w:t>Penhurst Mutual Life | compiled communications and interview notes | 12 January 2026</w:t>
      </w:r>
    </w:p>
    <w:p>
      <w:pPr>
        <w:spacing w:before="120"/>
      </w:pPr>
      <w:r>
        <w:rPr>
          <w:b/>
          <w:color w:val="1F4E79"/>
        </w:rPr>
        <w:t>Magda Gauthier — Head of Career Agency</w:t>
      </w:r>
    </w:p>
    <w:p>
      <w:r>
        <w:t>Interview note: The career agency is shrinking through retirements and hiring pressure. A smaller field makes service continuity harder, although agents still provide valued relationship continuity for policyholders. In my judgement, once stood down, the agency would be difficult to rebuild; this is informed judgement, not a quantified forecast.</w:t>
      </w:r>
    </w:p>
    <w:p>
      <w:pPr>
        <w:spacing w:before="120"/>
      </w:pPr>
      <w:r>
        <w:rPr>
          <w:b/>
          <w:color w:val="1F4E79"/>
        </w:rPr>
        <w:t>Farida Sinclair — Bellhaven Consortium liaison</w:t>
      </w:r>
    </w:p>
    <w:p>
      <w:r>
        <w:t>Email: Bellhaven’s independent-producer model has lower acquisition economics. We believe capacity is available for Penhurst, subject to onboarding slots, producer allocation and final operating confirmation. Bellhaven is not offering an exclusive or signed volume commitment at this stage.</w:t>
      </w:r>
    </w:p>
    <w:p>
      <w:pPr>
        <w:spacing w:before="120"/>
      </w:pPr>
      <w:r>
        <w:rPr>
          <w:b/>
          <w:color w:val="1F4E79"/>
        </w:rPr>
        <w:t>Aneta Zuniga — Actuarial</w:t>
      </w:r>
    </w:p>
    <w:p>
      <w:r>
        <w:t>Review note: Mature career-agency cohorts show better persistency than the independent-channel evidence currently available. The economically important distinction emerges after the three-period forecast horizon. Short-duration lapse observations are early signals only and must not be treated as mature persistency proof.</w:t>
      </w:r>
    </w:p>
    <w:p>
      <w:pPr>
        <w:spacing w:before="120"/>
      </w:pPr>
      <w:r>
        <w:rPr>
          <w:b/>
          <w:color w:val="1F4E79"/>
        </w:rPr>
        <w:t>Paloma Donnelly — Operations</w:t>
      </w:r>
    </w:p>
    <w:p>
      <w:r>
        <w:t>Planning note: A material shift requires producer onboarding, systems changes, training and service-routing work. Workforce effects may include reassignment and severance; amounts and timing remain estimates pending a detailed implementation plan. The next agency-contract cycle constrains the practical transition window.</w:t>
      </w:r>
    </w:p>
    <w:p>
      <w:pPr>
        <w:spacing w:before="120"/>
      </w:pPr>
      <w:r>
        <w:rPr>
          <w:b/>
          <w:color w:val="1F4E79"/>
        </w:rPr>
        <w:t>Astrid Mortensen — Risk &amp; conduct</w:t>
      </w:r>
    </w:p>
    <w:p>
      <w:r>
        <w:t>Risk note: Greater reliance on Bellhaven creates concentration exposure. Producer oversight and control readiness are not yet fully evidenced for the proposed scale. Complaints and conduct monitoring are proposed controls and preliminary design items, not confirmed adverse outcomes.</w:t>
      </w:r>
    </w:p>
    <w:p>
      <w:pPr>
        <w:spacing w:before="120"/>
      </w:pPr>
      <w:r>
        <w:rPr>
          <w:b/>
          <w:color w:val="1F4E79"/>
        </w:rPr>
        <w:t>Rutger Villalobos — Chief Executive</w:t>
      </w:r>
    </w:p>
    <w:p>
      <w:r>
        <w:t>Email, 9 January 2026: Please bring a board-ready recommendation to the February strategy session. The next agency-contract cycle makes delay costly; show what is reversible and what is not.</w:t>
      </w:r>
    </w:p>
    <w:p>
      <w:pPr>
        <w:spacing w:before="120"/>
      </w:pPr>
      <w:r>
        <w:rPr>
          <w:b/>
          <w:color w:val="1F4E79"/>
        </w:rPr>
        <w:t>Finance chronology note</w:t>
      </w:r>
    </w:p>
    <w:p>
      <w:r>
        <w:t>A source date appears as “03/04/2028”; it is ambiguous between 3 April and 4 March. No conclusion depends on choosing one reading, so chronology is treated as unresolved beyond the stated FY2028 period.</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