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United Kingdom Cyber Budget Review Basis</w:t>
      </w:r>
    </w:p>
    <w:p>
      <w:pPr>
        <w:spacing w:after="140"/>
      </w:pPr>
      <w:r>
        <w:rPr>
          <w:i/>
          <w:color w:val="5B6573"/>
        </w:rPr>
        <w:t>Internal governance note | Version 1.2 | Issued 26 September 2028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shd w:fill="EDF3F8"/>
            <w:vAlign w:val="top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Aptos" w:hAnsi="Aptos"/>
                <w:b w:val="0"/>
                <w:sz w:val="16"/>
              </w:rPr>
              <w:t>Owner</w:t>
              <w:br/>
              <w:t>Finance Risk &amp; Controls</w:t>
            </w:r>
          </w:p>
        </w:tc>
        <w:tc>
          <w:tcPr>
            <w:tcW w:type="dxa" w:w="3485"/>
            <w:shd w:fill="EDF3F8"/>
            <w:vAlign w:val="top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Aptos" w:hAnsi="Aptos"/>
                <w:b w:val="0"/>
                <w:sz w:val="16"/>
              </w:rPr>
              <w:t>Programme</w:t>
              <w:br/>
              <w:t>RCL-CY-2028</w:t>
            </w:r>
          </w:p>
        </w:tc>
        <w:tc>
          <w:tcPr>
            <w:tcW w:type="dxa" w:w="3485"/>
            <w:shd w:fill="EDF3F8"/>
            <w:vAlign w:val="top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Aptos" w:hAnsi="Aptos"/>
                <w:b w:val="0"/>
                <w:sz w:val="16"/>
              </w:rPr>
              <w:t>Applies as at</w:t>
              <w:br/>
              <w:t>30 September 2028</w:t>
            </w:r>
          </w:p>
        </w:tc>
      </w:tr>
    </w:tbl>
    <w:p>
      <w:pPr>
        <w:spacing w:after="0"/>
      </w:pPr>
    </w:p>
    <w:p>
      <w:pPr>
        <w:pStyle w:val="Heading1"/>
      </w:pPr>
      <w:r>
        <w:t>Review scope</w:t>
      </w:r>
    </w:p>
    <w:p>
      <w:r>
        <w:t>This review covers United Kingdom policy costs applicable on 30 September 2028. It is a budget and evidence review only. The conclusion must not extend beyond the supplied United Kingdom policy text, executed schedule, frozen rate-card snapshot and funding brief.</w:t>
      </w:r>
    </w:p>
    <w:p>
      <w:pPr>
        <w:pStyle w:val="Heading1"/>
      </w:pPr>
      <w:r>
        <w:t>Reconciliation rules</w:t>
      </w:r>
    </w:p>
    <w:p>
      <w:pPr>
        <w:pStyle w:val="ListBullet"/>
        <w:spacing w:after="20"/>
        <w:ind w:left="288"/>
      </w:pPr>
      <w:r>
        <w:t>Use the business key: normalised entity identifier, coverage layer, policy year and resolved transaction date.</w:t>
      </w:r>
    </w:p>
    <w:p>
      <w:pPr>
        <w:pStyle w:val="ListBullet"/>
        <w:spacing w:after="20"/>
        <w:ind w:left="288"/>
      </w:pPr>
      <w:r>
        <w:t>Normalise entity identifiers by trimming surrounding whitespace and matching without regard to case before grouping or de-duplication.</w:t>
      </w:r>
    </w:p>
    <w:p>
      <w:pPr>
        <w:pStyle w:val="ListBullet"/>
        <w:spacing w:after="20"/>
        <w:ind w:left="288"/>
      </w:pPr>
      <w:r>
        <w:t>Distinct coverage layers are separate premiums even where an entity and resolved date overlap. Remove only records whose full business key matches.</w:t>
      </w:r>
    </w:p>
    <w:p>
      <w:pPr>
        <w:pStyle w:val="ListBullet"/>
        <w:spacing w:after="20"/>
        <w:ind w:left="288"/>
      </w:pPr>
      <w:r>
        <w:t>Carry unambiguous dates through to a calendar date. Resolve an ambiguous slash-form date only where the executed coverage schedule corroborates the result, and disclose the treatment.</w:t>
      </w:r>
    </w:p>
    <w:p>
      <w:pPr>
        <w:pStyle w:val="ListBullet"/>
        <w:spacing w:after="20"/>
        <w:ind w:left="288"/>
      </w:pPr>
      <w:r>
        <w:t>Evidence precedence is: executed coverage schedule and approved endorsement evidence; then frozen rate card; then draft workbook figures. The Retired Helper Calc is non-authoritative and must not determine an accepted line amount, UK charge or total.</w:t>
      </w:r>
    </w:p>
    <w:p>
      <w:pPr>
        <w:pStyle w:val="ListBullet"/>
        <w:spacing w:after="20"/>
        <w:ind w:left="288"/>
      </w:pPr>
      <w:r>
        <w:t>An approved exception in Notes overrides only the named field or disposition. It does not displace otherwise applicable schedule, rate-card or scope evidence.</w:t>
      </w:r>
    </w:p>
    <w:p>
      <w:pPr>
        <w:pStyle w:val="ListBullet"/>
        <w:spacing w:after="20"/>
        <w:ind w:left="288"/>
      </w:pPr>
      <w:r>
        <w:t>Calculate a UK charge from the frozen rate card on the accepted premium unless an approved exception says it is not applicable. In that case leave the UK charge field blank; do not use zero or an estimate.</w:t>
      </w:r>
    </w:p>
    <w:p>
      <w:pPr>
        <w:pStyle w:val="Heading1"/>
      </w:pPr>
      <w:r>
        <w:t>Required compliance statement</w:t>
      </w:r>
    </w:p>
    <w:p>
      <w:r>
        <w:t>The assessment must state a supported conclusion for each of the following United Kingdom review controls:</w:t>
      </w:r>
    </w:p>
    <w:p>
      <w:pPr>
        <w:pStyle w:val="ListBullet"/>
        <w:spacing w:after="20"/>
        <w:ind w:left="288"/>
      </w:pPr>
      <w:r>
        <w:t>United Kingdom scope and the 30 September 2028 as-of date.</w:t>
      </w:r>
    </w:p>
    <w:p>
      <w:pPr>
        <w:pStyle w:val="ListBullet"/>
        <w:spacing w:after="20"/>
        <w:ind w:left="288"/>
      </w:pPr>
      <w:r>
        <w:t>Normalised business-key de-duplication and retention of distinct layers.</w:t>
      </w:r>
    </w:p>
    <w:p>
      <w:pPr>
        <w:pStyle w:val="ListBullet"/>
        <w:spacing w:after="20"/>
        <w:ind w:left="288"/>
      </w:pPr>
      <w:r>
        <w:t>Evidence precedence, date corroboration and approved Notes exceptions.</w:t>
      </w:r>
    </w:p>
    <w:p>
      <w:pPr>
        <w:pStyle w:val="ListBullet"/>
        <w:spacing w:after="20"/>
        <w:ind w:left="288"/>
      </w:pPr>
      <w:r>
        <w:t>Frozen rate-card applicability and the UK charge treatment, including any blank exception.</w:t>
      </w:r>
    </w:p>
    <w:p>
      <w:pPr>
        <w:pStyle w:val="ListBullet"/>
        <w:spacing w:after="20"/>
        <w:ind w:left="288"/>
      </w:pPr>
      <w:r>
        <w:t>Funding route compliance with every United Kingdom condition stated in Sandpiper Advisory's supplied funding brief.</w:t>
      </w:r>
    </w:p>
    <w:p>
      <w:r>
        <w:t>Presentation must show the selected evidence basis, source references and any limitation or assumption. Do not describe a requirement as compliant unless the supplied evidence supports it.</w:t>
      </w:r>
    </w:p>
    <w:sectPr w:rsidR="00FC693F" w:rsidRPr="0006063C" w:rsidSect="00034616">
      <w:footerReference w:type="default" r:id="rId9"/>
      <w:pgSz w:w="12240" w:h="15840"/>
      <w:pgMar w:top="792" w:right="893" w:bottom="792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color w:val="6B7280"/>
        <w:sz w:val="15"/>
      </w:rPr>
      <w:t>Redcliffe Manufacturing plc | Finance Risk &amp; Controls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0" w:lineRule="auto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Aptos" w:hAnsi="Aptos"/>
      <w:b/>
      <w:bCs/>
      <w:color w:val="1F4E78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ptos" w:hAnsi="Aptos"/>
      <w:b/>
      <w:bCs/>
      <w:color w:val="1F4E78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F4E78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