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16"/>
        </w:rPr>
        <w:t>MARLOWE × QUICKLANE</w:t>
      </w:r>
    </w:p>
    <w:p>
      <w:pPr>
        <w:spacing w:after="20"/>
      </w:pPr>
      <w:r>
        <w:rPr>
          <w:b/>
          <w:color w:val="1F4E79"/>
          <w:sz w:val="32"/>
        </w:rPr>
        <w:t>Negotiation position brief</w:t>
      </w:r>
    </w:p>
    <w:p>
      <w:pPr>
        <w:spacing w:after="80"/>
      </w:pPr>
      <w:r>
        <w:rPr>
          <w:color w:val="5A5A5A"/>
          <w:sz w:val="16"/>
        </w:rPr>
        <w:t>For Ingrid Lindqvist and cross-functional leads | Prepared by Tobenna Aponte | Before Wednesday’s call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B4C7E7"/>
          <w:left w:val="single" w:sz="8" w:color="B4C7E7"/>
          <w:bottom w:val="single" w:sz="8" w:color="B4C7E7"/>
          <w:right w:val="single" w:sz="8" w:color="B4C7E7"/>
          <w:insideH w:val="single" w:sz="8" w:color="B4C7E7"/>
          <w:insideV w:val="single" w:sz="8" w:color="B4C7E7"/>
        </w:tblBorders>
      </w:tblPr>
      <w:tblGrid>
        <w:gridCol w:w="10800"/>
      </w:tblGrid>
      <w:tr>
        <w:tc>
          <w:tcPr>
            <w:tcW w:type="dxa" w:w="10800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  <w:color w:val="1F1F1F"/>
                <w:sz w:val="18"/>
              </w:rPr>
              <w:t>Situation: Chat support was unavailable for 11 hours during Quicklane’s open-enrolment period. Acknowledge the disruption and the formal complaint; do not concede that the SLA penalty is owed.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1 | OPENING POSITION — ONE FIRST OFFER</w:t>
      </w:r>
    </w:p>
    <w:p>
      <w:pPr>
        <w:spacing w:after="40"/>
      </w:pPr>
      <w:r>
        <w:rPr>
          <w:b/>
        </w:rPr>
        <w:t xml:space="preserve">Offer a dedicated enrolment support line for Quicklane’s next enrolment window, with a jointly agreed operating plan and post-window review, while keeping the current SLA terms in place pending Legal’s review. </w:t>
      </w:r>
      <w:r>
        <w:t>This directly addresses the high-consequence enrolment disruption and is a relatively low-cost, controllable accommodation. It avoids turning a single incident into a permanent service or credit obligation. Safe to carry: “Marlowe can put a dedicated enrolment line and operating plan on the table.” Not safe to carry: any promise of credits, AHT, waiver, release, or reopened terms.</w:t>
      </w:r>
    </w:p>
    <w:p>
      <w:pPr>
        <w:spacing w:before="100" w:after="40"/>
      </w:pPr>
      <w:r>
        <w:rPr>
          <w:b/>
          <w:color w:val="1F4E79"/>
          <w:sz w:val="20"/>
        </w:rPr>
        <w:t>2 | CONCESSION SEQUENCE (ONLY IN ORDER)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4"/>
        <w:gridCol w:w="3024"/>
        <w:gridCol w:w="3384"/>
        <w:gridCol w:w="2376"/>
      </w:tblGrid>
      <w:tr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Move if pressed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Guardrail / status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Owner before offer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Dedicated enrolment line + named operating plan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Early, low incremental cost; limited to next enrolment window and review. Firm operational offer once Operations confirms staffing.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Gerhard Bergqvist / Hilde Jaramillo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Time-boxed service review and corrective-action readout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Share period comparison and controls; no admission of SLA breach or entitlement. Internal target, not a new SLA.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Tobenna Aponte; Ibrahim Bruns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Explore a narrowly scoped AHT service target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Only as an internal aspiration or pilot with governance, exclusions, and no binding outcome. A hard AHT commitment is materially higher exposure.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Operations + Ingrid confirmation</w:t>
            </w:r>
          </w:p>
        </w:tc>
      </w:tr>
      <w:tr>
        <w:tc>
          <w:tcPr>
            <w:tcW w:type="dxa" w:w="50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Any credit, waiver, release, or reopened/permanent terms</w:t>
            </w:r>
          </w:p>
        </w:tc>
        <w:tc>
          <w:tcPr>
            <w:tcW w:type="dxa" w:w="338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Hold back. If Quicklane presses first for the penalty or permanent change, pause and route the exact text and conditions to Ingrid; no automatic standing credits.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Ingrid Lindqvist (Legal decision)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3 | ONE IMMOVABLE TERM</w:t>
      </w:r>
    </w:p>
    <w:p>
      <w:pPr>
        <w:spacing w:after="40"/>
      </w:pPr>
      <w:r>
        <w:rPr>
          <w:b/>
        </w:rPr>
        <w:t xml:space="preserve">Marlowe will not agree to standing or continuing SLA credits as an automatic remedy. </w:t>
      </w:r>
      <w:r>
        <w:t>Quicklane’s service concern is legitimate, especially during open enrolment, but recurring credits create ongoing commercial exposure beyond the low-cost support line and should not be triggered by an internal negotiation brief. A case-specific credit, waiver, release, or revised obligation is a separate Legal decision—not a movement on this boundary.</w:t>
      </w:r>
    </w:p>
    <w:p>
      <w:pPr>
        <w:spacing w:before="100" w:after="40"/>
      </w:pPr>
      <w:r>
        <w:rPr>
          <w:b/>
          <w:color w:val="1F4E79"/>
          <w:sz w:val="20"/>
        </w:rPr>
        <w:t>4 | EVIDENCE AND LEGAL BOUNDARIES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968"/>
        <w:gridCol w:w="4464"/>
      </w:tblGrid>
      <w:tr>
        <w:tc>
          <w:tcPr>
            <w:tcW w:type="dxa" w:w="54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Period comparison</w:t>
            </w:r>
          </w:p>
        </w:tc>
        <w:tc>
          <w:tcPr>
            <w:tcW w:type="dxa" w:w="54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What Ingrid must decide / confirm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Stable pre-incident: availability 99.93%, volume 4,820, abandonment 2.1%, median first response 42 sec, AHT 6 min 10 sec. Incident month: 98.41%, 5,460, 14.8%, 3 min 55 sec, and 8 min 40 sec. Availability and queue outcomes deteriorated while volume rose. Evidence is period-level; it cannot prove sole causation, penalty entitlement, or future performance.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Quicklane invoked the SLA penalty clause; that demand is not a conclusion that the clause is satisfied. Ingrid must confirm interpretation of the 99.5% credit trigger and notice/measurement/exclusion conditions, and approve any waiver, release, amendment, reopened terms, or revised legal obligation.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5 | RISK / OWNER VIEW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32"/>
        <w:gridCol w:w="3456"/>
        <w:gridCol w:w="2664"/>
        <w:gridCol w:w="1440"/>
      </w:tblGrid>
      <w:tr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Position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Consequence if offered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Risk lens</w:t>
            </w:r>
          </w:p>
        </w:tc>
        <w:tc>
          <w:tcPr>
            <w:tcW w:type="dxa" w:w="2700"/>
            <w:vAlign w:val="center"/>
            <w:shd w:fill="1F4E79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Consult / owner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Dedicated 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Addresses enrolment harm; manageable staffing lift.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Operational / low commercial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Gerhard, Hilde, Ibrahim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AHT target or commitment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May constrain case handling; binding promise could create service exposure.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Operational / legal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Operations + Ingrid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Standing credits / reopened terms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Recurring cost and precedent; may alter rights.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/ legal high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Ingrid; Joaquin / Renata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Period comparison +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Credible accountability without admitting liability.</w:t>
            </w:r>
          </w:p>
        </w:tc>
        <w:tc>
          <w:tcPr>
            <w:tcW w:type="dxa" w:w="26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Reputational / operational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Tobenna; Ibrahim</w:t>
            </w:r>
          </w:p>
        </w:tc>
      </w:tr>
    </w:tbl>
    <w:p>
      <w:pPr>
        <w:spacing w:before="100" w:after="40"/>
      </w:pPr>
      <w:r>
        <w:rPr>
          <w:b/>
          <w:color w:val="1F4E79"/>
          <w:sz w:val="20"/>
        </w:rPr>
        <w:t>RECOMMENDATION FOR WEDNESDAY</w:t>
      </w:r>
    </w:p>
    <w:p>
      <w:pPr>
        <w:spacing w:after="0"/>
      </w:pPr>
      <w:r>
        <w:rPr>
          <w:b/>
        </w:rPr>
        <w:t xml:space="preserve">Take one controlled offer: </w:t>
      </w:r>
      <w:r>
        <w:t>acknowledge the 11-hour open-enrolment disruption, offer the dedicated enrolment line and time-boxed review, and hold all credits, AHT commitments, waivers, releases, and permanent term changes for Ingrid’s decision. This preserves a practical remedy without converting an unresolved SLA question into a continuing obligation.</w:t>
      </w:r>
    </w:p>
    <w:sectPr w:rsidR="00FC693F" w:rsidRPr="0006063C" w:rsidSect="00034616">
      <w:footerReference w:type="default" r:id="rId9"/>
      <w:pgSz w:w="12240" w:h="15840"/>
      <w:pgMar w:top="547" w:right="720" w:bottom="54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4"/>
      </w:rPr>
      <w:t>Internal • Negotiation preparation • Not for external distribution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232D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