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5C72"/>
          <w:sz w:val="30"/>
        </w:rPr>
        <w:t>Deal correspondence excerpts</w:t>
      </w:r>
    </w:p>
    <w:p>
      <w:pPr>
        <w:pStyle w:val="Subtitle"/>
      </w:pPr>
      <w:r>
        <w:t>Compiled for the Copperlane Films fee review | 20 Aug 2026</w:t>
      </w:r>
    </w:p>
    <w:p>
      <w:pPr>
        <w:pStyle w:val="Heading1"/>
      </w:pPr>
      <w:r>
        <w:t>CL-101 / Harbor Light — production email, 18 Apr 2022</w:t>
      </w:r>
    </w:p>
    <w:p>
      <w:r>
        <w:t>“The 15s and 06s cutdown package is included in the agreed deliverables. For the record, neither cutdown was trafficked or used; only the 30s master ran.” — Production, to contracting.</w:t>
      </w:r>
    </w:p>
    <w:p>
      <w:pPr>
        <w:pStyle w:val="Heading1"/>
      </w:pPr>
      <w:r>
        <w:t>CL-102 / Tide Lines — rights confirmation, 04 Sep 2023</w:t>
      </w:r>
    </w:p>
    <w:p>
      <w:r>
        <w:t>“Tide Lines is cleared for broadcast in the UK and Ireland for 18 months. The deal does not include online use.” — Rights coordinator.</w:t>
      </w:r>
    </w:p>
    <w:p>
      <w:pPr>
        <w:pStyle w:val="Heading1"/>
      </w:pPr>
      <w:r>
        <w:t>CL-103 / North Current — delivery note, 12 Nov 2024</w:t>
      </w:r>
    </w:p>
    <w:p>
      <w:r>
        <w:t>“North Current retained the 30s master and two platform shipment packs for a 24-month online/social term across the listed territories.” — Delivery, to producer.</w:t>
      </w:r>
    </w:p>
    <w:p>
      <w:r>
        <w:t>These excerpts clarify contracted inclusion versus actual use and preserve the deal labels used in the source comparison workbook.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