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left"/>
      </w:pPr>
      <w:r>
        <w:rPr>
          <w:rFonts w:ascii="Arial" w:hAnsi="Arial" w:eastAsia="Arial"/>
          <w:b/>
          <w:i w:val="0"/>
          <w:color w:val="17324D"/>
          <w:sz w:val="35"/>
        </w:rPr>
        <w:t>Safeguarding oversight response</w:t>
      </w:r>
    </w:p>
    <w:p>
      <w:pPr>
        <w:spacing w:before="0" w:after="140" w:line="240" w:lineRule="auto"/>
      </w:pPr>
      <w:r>
        <w:rPr>
          <w:rFonts w:ascii="Arial" w:hAnsi="Arial" w:eastAsia="Arial"/>
          <w:b w:val="0"/>
          <w:i w:val="0"/>
          <w:color w:val="007C78"/>
          <w:sz w:val="19"/>
        </w:rPr>
        <w:t>Meadowgate Cooperative seasonal-worker accommodation</w:t>
      </w:r>
    </w:p>
    <w:tbl>
      <w:tblPr>
        <w:tblW w:type="auto" w:w="0"/>
        <w:jc w:val="center"/>
        <w:tblLayout w:type="fixed"/>
        <w:tblLook w:firstColumn="1" w:firstRow="1" w:lastColumn="0" w:lastRow="0" w:noHBand="0" w:noVBand="1" w:val="04A0"/>
      </w:tblPr>
      <w:tblGrid>
        <w:gridCol w:w="5244"/>
        <w:gridCol w:w="5244"/>
      </w:tblGrid>
      <w:tr>
        <w:trPr>
          <w:cantSplit/>
        </w:trPr>
        <w:tc>
          <w:tcPr>
            <w:tcW w:type="dxa" w:w="2466"/>
            <w:tcMar>
              <w:top w:w="45" w:type="dxa"/>
              <w:start w:w="85" w:type="dxa"/>
              <w:bottom w:w="45" w:type="dxa"/>
              <w:end w:w="85" w:type="dxa"/>
            </w:tcMar>
            <w:vAlign w:val="center"/>
            <w:tcBorders>
              <w:top w:val="single" w:sz="3" w:color="D5E0E1"/>
              <w:left w:val="single" w:sz="3" w:color="D5E0E1"/>
              <w:bottom w:val="single" w:sz="3" w:color="D5E0E1"/>
              <w:right w:val="single" w:sz="3" w:color="D5E0E1"/>
            </w:tcBorders>
            <w:shd w:fill="E8F3F2"/>
          </w:tcPr>
          <w:p>
            <w:pPr>
              <w:spacing w:before="0" w:after="0" w:line="240" w:lineRule="auto"/>
            </w:pPr>
            <w:r>
              <w:rPr>
                <w:rFonts w:ascii="Arial" w:hAnsi="Arial" w:eastAsia="Arial"/>
                <w:b/>
                <w:i w:val="0"/>
                <w:color w:val="007C78"/>
                <w:sz w:val="16"/>
              </w:rPr>
              <w:t>Prepared for</w:t>
            </w:r>
          </w:p>
        </w:tc>
        <w:tc>
          <w:tcPr>
            <w:tcW w:type="dxa" w:w="7228"/>
            <w:tcMar>
              <w:top w:w="45" w:type="dxa"/>
              <w:start w:w="85" w:type="dxa"/>
              <w:bottom w:w="45" w:type="dxa"/>
              <w:end w:w="85" w:type="dxa"/>
            </w:tcMar>
            <w:vAlign w:val="center"/>
            <w:tcBorders>
              <w:top w:val="single" w:sz="3" w:color="D5E0E1"/>
              <w:left w:val="single" w:sz="3" w:color="D5E0E1"/>
              <w:bottom w:val="single" w:sz="3" w:color="D5E0E1"/>
              <w:right w:val="single" w:sz="3" w:color="D5E0E1"/>
            </w:tcBorders>
            <w:shd w:fill="FFFFFF"/>
          </w:tcPr>
          <w:p>
            <w:pPr>
              <w:spacing w:before="0" w:after="0" w:line="240" w:lineRule="auto"/>
            </w:pPr>
            <w:r>
              <w:rPr>
                <w:rFonts w:ascii="Arial" w:hAnsi="Arial" w:eastAsia="Arial"/>
                <w:b w:val="0"/>
                <w:i w:val="0"/>
                <w:color w:val="17324D"/>
                <w:sz w:val="16"/>
              </w:rPr>
              <w:t>Camila Ellingsen, Peatmoor Networks; Ingrid Egwuatu, decision authority</w:t>
            </w:r>
          </w:p>
        </w:tc>
      </w:tr>
      <w:tr>
        <w:trPr>
          <w:cantSplit/>
        </w:trPr>
        <w:tc>
          <w:tcPr>
            <w:tcW w:type="dxa" w:w="2466"/>
            <w:tcMar>
              <w:top w:w="45" w:type="dxa"/>
              <w:start w:w="85" w:type="dxa"/>
              <w:bottom w:w="45" w:type="dxa"/>
              <w:end w:w="85" w:type="dxa"/>
            </w:tcMar>
            <w:vAlign w:val="center"/>
            <w:tcBorders>
              <w:top w:val="single" w:sz="3" w:color="D5E0E1"/>
              <w:left w:val="single" w:sz="3" w:color="D5E0E1"/>
              <w:bottom w:val="single" w:sz="3" w:color="D5E0E1"/>
              <w:right w:val="single" w:sz="3" w:color="D5E0E1"/>
            </w:tcBorders>
            <w:shd w:fill="EAF1F7"/>
          </w:tcPr>
          <w:p>
            <w:pPr>
              <w:spacing w:before="0" w:after="0" w:line="240" w:lineRule="auto"/>
            </w:pPr>
            <w:r>
              <w:rPr>
                <w:rFonts w:ascii="Arial" w:hAnsi="Arial" w:eastAsia="Arial"/>
                <w:b/>
                <w:i w:val="0"/>
                <w:color w:val="007C78"/>
                <w:sz w:val="16"/>
              </w:rPr>
              <w:t>Prepared by</w:t>
            </w:r>
          </w:p>
        </w:tc>
        <w:tc>
          <w:tcPr>
            <w:tcW w:type="dxa" w:w="7228"/>
            <w:tcMar>
              <w:top w:w="45" w:type="dxa"/>
              <w:start w:w="85" w:type="dxa"/>
              <w:bottom w:w="45" w:type="dxa"/>
              <w:end w:w="85" w:type="dxa"/>
            </w:tcMar>
            <w:vAlign w:val="center"/>
            <w:tcBorders>
              <w:top w:val="single" w:sz="3" w:color="D5E0E1"/>
              <w:left w:val="single" w:sz="3" w:color="D5E0E1"/>
              <w:bottom w:val="single" w:sz="3" w:color="D5E0E1"/>
              <w:right w:val="single" w:sz="3" w:color="D5E0E1"/>
            </w:tcBorders>
            <w:shd w:fill="FFFFFF"/>
          </w:tcPr>
          <w:p>
            <w:pPr>
              <w:spacing w:before="0" w:after="0" w:line="240" w:lineRule="auto"/>
            </w:pPr>
            <w:r>
              <w:rPr>
                <w:rFonts w:ascii="Arial" w:hAnsi="Arial" w:eastAsia="Arial"/>
                <w:b w:val="0"/>
                <w:i w:val="0"/>
                <w:color w:val="17324D"/>
                <w:sz w:val="16"/>
              </w:rPr>
              <w:t>Petra Yamamoto, Child and Family Social Worker</w:t>
            </w:r>
          </w:p>
        </w:tc>
      </w:tr>
      <w:tr>
        <w:trPr>
          <w:cantSplit/>
        </w:trPr>
        <w:tc>
          <w:tcPr>
            <w:tcW w:type="dxa" w:w="2466"/>
            <w:tcMar>
              <w:top w:w="45" w:type="dxa"/>
              <w:start w:w="85" w:type="dxa"/>
              <w:bottom w:w="45" w:type="dxa"/>
              <w:end w:w="85" w:type="dxa"/>
            </w:tcMar>
            <w:vAlign w:val="center"/>
            <w:tcBorders>
              <w:top w:val="single" w:sz="3" w:color="D5E0E1"/>
              <w:left w:val="single" w:sz="3" w:color="D5E0E1"/>
              <w:bottom w:val="single" w:sz="3" w:color="D5E0E1"/>
              <w:right w:val="single" w:sz="3" w:color="D5E0E1"/>
            </w:tcBorders>
            <w:shd w:fill="E8F3F2"/>
          </w:tcPr>
          <w:p>
            <w:pPr>
              <w:spacing w:before="0" w:after="0" w:line="240" w:lineRule="auto"/>
            </w:pPr>
            <w:r>
              <w:rPr>
                <w:rFonts w:ascii="Arial" w:hAnsi="Arial" w:eastAsia="Arial"/>
                <w:b/>
                <w:i w:val="0"/>
                <w:color w:val="007C78"/>
                <w:sz w:val="16"/>
              </w:rPr>
              <w:t>Issued</w:t>
            </w:r>
          </w:p>
        </w:tc>
        <w:tc>
          <w:tcPr>
            <w:tcW w:type="dxa" w:w="7228"/>
            <w:tcMar>
              <w:top w:w="45" w:type="dxa"/>
              <w:start w:w="85" w:type="dxa"/>
              <w:bottom w:w="45" w:type="dxa"/>
              <w:end w:w="85" w:type="dxa"/>
            </w:tcMar>
            <w:vAlign w:val="center"/>
            <w:tcBorders>
              <w:top w:val="single" w:sz="3" w:color="D5E0E1"/>
              <w:left w:val="single" w:sz="3" w:color="D5E0E1"/>
              <w:bottom w:val="single" w:sz="3" w:color="D5E0E1"/>
              <w:right w:val="single" w:sz="3" w:color="D5E0E1"/>
            </w:tcBorders>
            <w:shd w:fill="FFFFFF"/>
          </w:tcPr>
          <w:p>
            <w:pPr>
              <w:spacing w:before="0" w:after="0" w:line="240" w:lineRule="auto"/>
            </w:pPr>
            <w:r>
              <w:rPr>
                <w:rFonts w:ascii="Arial" w:hAnsi="Arial" w:eastAsia="Arial"/>
                <w:b w:val="0"/>
                <w:i w:val="0"/>
                <w:color w:val="17324D"/>
                <w:sz w:val="16"/>
              </w:rPr>
              <w:t>Friday 4 April 2025, by 16:00</w:t>
            </w:r>
          </w:p>
        </w:tc>
      </w:tr>
      <w:tr>
        <w:trPr>
          <w:cantSplit/>
        </w:trPr>
        <w:tc>
          <w:tcPr>
            <w:tcW w:type="dxa" w:w="2466"/>
            <w:tcMar>
              <w:top w:w="45" w:type="dxa"/>
              <w:start w:w="85" w:type="dxa"/>
              <w:bottom w:w="45" w:type="dxa"/>
              <w:end w:w="85" w:type="dxa"/>
            </w:tcMar>
            <w:vAlign w:val="center"/>
            <w:tcBorders>
              <w:top w:val="single" w:sz="3" w:color="D5E0E1"/>
              <w:left w:val="single" w:sz="3" w:color="D5E0E1"/>
              <w:bottom w:val="single" w:sz="3" w:color="D5E0E1"/>
              <w:right w:val="single" w:sz="3" w:color="D5E0E1"/>
            </w:tcBorders>
            <w:shd w:fill="EAF1F7"/>
          </w:tcPr>
          <w:p>
            <w:pPr>
              <w:spacing w:before="0" w:after="0" w:line="240" w:lineRule="auto"/>
            </w:pPr>
            <w:r>
              <w:rPr>
                <w:rFonts w:ascii="Arial" w:hAnsi="Arial" w:eastAsia="Arial"/>
                <w:b/>
                <w:i w:val="0"/>
                <w:color w:val="007C78"/>
                <w:sz w:val="16"/>
              </w:rPr>
              <w:t>Comparison scope</w:t>
            </w:r>
          </w:p>
        </w:tc>
        <w:tc>
          <w:tcPr>
            <w:tcW w:type="dxa" w:w="7228"/>
            <w:tcMar>
              <w:top w:w="45" w:type="dxa"/>
              <w:start w:w="85" w:type="dxa"/>
              <w:bottom w:w="45" w:type="dxa"/>
              <w:end w:w="85" w:type="dxa"/>
            </w:tcMar>
            <w:vAlign w:val="center"/>
            <w:tcBorders>
              <w:top w:val="single" w:sz="3" w:color="D5E0E1"/>
              <w:left w:val="single" w:sz="3" w:color="D5E0E1"/>
              <w:bottom w:val="single" w:sz="3" w:color="D5E0E1"/>
              <w:right w:val="single" w:sz="3" w:color="D5E0E1"/>
            </w:tcBorders>
            <w:shd w:fill="FFFFFF"/>
          </w:tcPr>
          <w:p>
            <w:pPr>
              <w:spacing w:before="0" w:after="0" w:line="240" w:lineRule="auto"/>
            </w:pPr>
            <w:r>
              <w:rPr>
                <w:rFonts w:ascii="Arial" w:hAnsi="Arial" w:eastAsia="Arial"/>
                <w:b w:val="0"/>
                <w:i w:val="0"/>
                <w:color w:val="17324D"/>
                <w:sz w:val="16"/>
              </w:rPr>
              <w:t>England and Scotland | 2023–24 and 2024–25 financial years</w:t>
            </w:r>
          </w:p>
        </w:tc>
      </w:tr>
      <w:tr>
        <w:trPr>
          <w:cantSplit/>
        </w:trPr>
        <w:tc>
          <w:tcPr>
            <w:tcW w:type="dxa" w:w="2466"/>
            <w:tcMar>
              <w:top w:w="45" w:type="dxa"/>
              <w:start w:w="85" w:type="dxa"/>
              <w:bottom w:w="45" w:type="dxa"/>
              <w:end w:w="85" w:type="dxa"/>
            </w:tcMar>
            <w:vAlign w:val="center"/>
            <w:tcBorders>
              <w:top w:val="single" w:sz="3" w:color="D5E0E1"/>
              <w:left w:val="single" w:sz="3" w:color="D5E0E1"/>
              <w:bottom w:val="single" w:sz="3" w:color="D5E0E1"/>
              <w:right w:val="single" w:sz="3" w:color="D5E0E1"/>
            </w:tcBorders>
            <w:shd w:fill="E8F3F2"/>
          </w:tcPr>
          <w:p>
            <w:pPr>
              <w:spacing w:before="0" w:after="0" w:line="240" w:lineRule="auto"/>
            </w:pPr>
            <w:r>
              <w:rPr>
                <w:rFonts w:ascii="Arial" w:hAnsi="Arial" w:eastAsia="Arial"/>
                <w:b/>
                <w:i w:val="0"/>
                <w:color w:val="007C78"/>
                <w:sz w:val="16"/>
              </w:rPr>
              <w:t>Position</w:t>
            </w:r>
          </w:p>
        </w:tc>
        <w:tc>
          <w:tcPr>
            <w:tcW w:type="dxa" w:w="7228"/>
            <w:tcMar>
              <w:top w:w="45" w:type="dxa"/>
              <w:start w:w="85" w:type="dxa"/>
              <w:bottom w:w="45" w:type="dxa"/>
              <w:end w:w="85" w:type="dxa"/>
            </w:tcMar>
            <w:vAlign w:val="center"/>
            <w:tcBorders>
              <w:top w:val="single" w:sz="3" w:color="D5E0E1"/>
              <w:left w:val="single" w:sz="3" w:color="D5E0E1"/>
              <w:bottom w:val="single" w:sz="3" w:color="D5E0E1"/>
              <w:right w:val="single" w:sz="3" w:color="D5E0E1"/>
            </w:tcBorders>
            <w:shd w:fill="FFFFFF"/>
          </w:tcPr>
          <w:p>
            <w:pPr>
              <w:spacing w:before="0" w:after="0" w:line="240" w:lineRule="auto"/>
            </w:pPr>
            <w:r>
              <w:rPr>
                <w:rFonts w:ascii="Arial" w:hAnsi="Arial" w:eastAsia="Arial"/>
                <w:b w:val="0"/>
                <w:i w:val="0"/>
                <w:color w:val="17324D"/>
                <w:sz w:val="16"/>
              </w:rPr>
              <w:t>Legal and practice position current as at 31 March 2025</w:t>
            </w:r>
          </w:p>
        </w:tc>
      </w:tr>
    </w:tbl>
    <w:p>
      <w:pPr>
        <w:spacing w:before="120" w:after="100" w:line="250" w:lineRule="auto"/>
      </w:pPr>
      <w:r>
        <w:rPr>
          <w:rFonts w:ascii="Arial" w:hAnsi="Arial" w:eastAsia="Arial"/>
          <w:b/>
          <w:i w:val="0"/>
          <w:color w:val="007C78"/>
          <w:sz w:val="17"/>
        </w:rPr>
        <w:t xml:space="preserve">Purpose. </w:t>
      </w:r>
      <w:r>
        <w:rPr>
          <w:rFonts w:ascii="Arial" w:hAnsi="Arial" w:eastAsia="Arial"/>
          <w:b w:val="0"/>
          <w:i w:val="0"/>
          <w:color w:val="17324D"/>
          <w:sz w:val="17"/>
        </w:rPr>
        <w:t>Peatmoor seeks oversight following its reported increase in safeguarding referrals. This response supports Ingrid Egwuatu's enhanced family-support decision; it is not a completed child-protection assessment or an individual child assessment. The absence of the referral log, case information, occupancy/exposure data, counts, definitions, and underlying analysis means no completed quantitative comparison or case assessment can safely be made this week.</w:t>
      </w:r>
    </w:p>
    <w:tbl>
      <w:tblPr>
        <w:tblW w:type="auto" w:w="0"/>
        <w:jc w:val="center"/>
        <w:tblLayout w:type="fixed"/>
        <w:tblLook w:firstColumn="1" w:firstRow="1" w:lastColumn="0" w:lastRow="0" w:noHBand="0" w:noVBand="1" w:val="04A0"/>
      </w:tblPr>
      <w:tblGrid>
        <w:gridCol w:w="10488"/>
      </w:tblGrid>
      <w:tr>
        <w:tc>
          <w:tcPr>
            <w:tcW w:type="dxa" w:w="9694"/>
            <w:tcMar>
              <w:top w:w="120" w:type="dxa"/>
              <w:start w:w="145" w:type="dxa"/>
              <w:bottom w:w="105" w:type="dxa"/>
              <w:end w:w="145" w:type="dxa"/>
            </w:tcMar>
            <w:shd w:fill="FFF4D8"/>
            <w:tcBorders>
              <w:top w:val="single" w:sz="12" w:color="C88A00"/>
              <w:left w:val="single" w:sz="12" w:color="C88A00"/>
              <w:bottom w:val="single" w:sz="12" w:color="C88A00"/>
              <w:right w:val="single" w:sz="12" w:color="C88A00"/>
            </w:tcBorders>
          </w:tcPr>
          <w:p>
            <w:pPr>
              <w:spacing w:before="0" w:after="40" w:line="240" w:lineRule="auto"/>
            </w:pPr>
            <w:r>
              <w:rPr>
                <w:rFonts w:ascii="Arial" w:hAnsi="Arial" w:eastAsia="Arial"/>
                <w:b/>
                <w:i w:val="0"/>
                <w:color w:val="8A5A00"/>
                <w:sz w:val="16"/>
              </w:rPr>
              <w:t>DECISION RECORDED</w:t>
            </w:r>
          </w:p>
          <w:p>
            <w:pPr>
              <w:spacing w:before="0" w:after="40" w:line="250" w:lineRule="auto"/>
            </w:pPr>
            <w:r>
              <w:rPr>
                <w:rFonts w:ascii="Arial" w:hAnsi="Arial" w:eastAsia="Arial"/>
                <w:b w:val="0"/>
                <w:i w:val="0"/>
                <w:color w:val="17324D"/>
                <w:sz w:val="18"/>
              </w:rPr>
              <w:t xml:space="preserve">Status changed from routine monitoring to </w:t>
            </w:r>
            <w:r>
              <w:rPr>
                <w:rFonts w:ascii="Arial" w:hAnsi="Arial" w:eastAsia="Arial"/>
                <w:b/>
                <w:i w:val="0"/>
                <w:color w:val="17324D"/>
                <w:sz w:val="18"/>
              </w:rPr>
              <w:t>interim enhanced review</w:t>
            </w:r>
            <w:r>
              <w:rPr>
                <w:rFonts w:ascii="Arial" w:hAnsi="Arial" w:eastAsia="Arial"/>
                <w:b w:val="0"/>
                <w:i w:val="0"/>
                <w:color w:val="17324D"/>
                <w:sz w:val="18"/>
              </w:rPr>
              <w:t xml:space="preserve">. Effective 4 April 2025. Operational owner: </w:t>
            </w:r>
            <w:r>
              <w:rPr>
                <w:rFonts w:ascii="Arial" w:hAnsi="Arial" w:eastAsia="Arial"/>
                <w:b/>
                <w:i w:val="0"/>
                <w:color w:val="17324D"/>
                <w:sz w:val="18"/>
              </w:rPr>
              <w:t>Petra Yamamoto</w:t>
            </w:r>
            <w:r>
              <w:rPr>
                <w:rFonts w:ascii="Arial" w:hAnsi="Arial" w:eastAsia="Arial"/>
                <w:b w:val="0"/>
                <w:i w:val="0"/>
                <w:color w:val="17324D"/>
                <w:sz w:val="18"/>
              </w:rPr>
              <w:t xml:space="preserve">. Formal review point: </w:t>
            </w:r>
            <w:r>
              <w:rPr>
                <w:rFonts w:ascii="Arial" w:hAnsi="Arial" w:eastAsia="Arial"/>
                <w:b/>
                <w:i w:val="0"/>
                <w:color w:val="17324D"/>
                <w:sz w:val="18"/>
              </w:rPr>
              <w:t>25 April 2025</w:t>
            </w:r>
            <w:r>
              <w:rPr>
                <w:rFonts w:ascii="Arial" w:hAnsi="Arial" w:eastAsia="Arial"/>
                <w:b w:val="0"/>
                <w:i w:val="0"/>
                <w:color w:val="17324D"/>
                <w:sz w:val="18"/>
              </w:rPr>
              <w:t>, chaired by Ingrid Egwuatu.</w:t>
            </w:r>
          </w:p>
          <w:p>
            <w:pPr>
              <w:spacing w:before="0" w:after="0" w:line="250" w:lineRule="auto"/>
            </w:pPr>
            <w:r>
              <w:rPr>
                <w:rFonts w:ascii="Arial" w:hAnsi="Arial" w:eastAsia="Arial"/>
                <w:b/>
                <w:i w:val="0"/>
                <w:color w:val="17324D"/>
                <w:sz w:val="16"/>
              </w:rPr>
              <w:t xml:space="preserve">Recommendation to Ingrid: </w:t>
            </w:r>
            <w:r>
              <w:rPr>
                <w:rFonts w:ascii="Arial" w:hAnsi="Arial" w:eastAsia="Arial"/>
                <w:b w:val="0"/>
                <w:i w:val="0"/>
                <w:color w:val="17324D"/>
                <w:sz w:val="16"/>
              </w:rPr>
              <w:t>begin a proportionate, time-limited enhanced family-support response now. Continue, adjust, or close it only at the dated evidence review; this is precautionary and is not a finding that harm has increased.</w:t>
            </w:r>
          </w:p>
        </w:tc>
      </w:tr>
    </w:tbl>
    <w:p>
      <w:pPr>
        <w:keepNext/>
        <w:spacing w:before="160" w:after="60" w:line="240" w:lineRule="auto"/>
      </w:pPr>
      <w:r>
        <w:rPr>
          <w:rFonts w:ascii="Arial" w:hAnsi="Arial" w:eastAsia="Arial"/>
          <w:b/>
          <w:i w:val="0"/>
          <w:color w:val="007C78"/>
          <w:sz w:val="22"/>
        </w:rPr>
        <w:t>1. What the period comparison can say</w:t>
      </w:r>
    </w:p>
    <w:p>
      <w:pPr>
        <w:spacing w:before="0" w:after="60" w:line="250" w:lineRule="auto"/>
      </w:pPr>
      <w:r>
        <w:rPr>
          <w:rFonts w:ascii="Arial" w:hAnsi="Arial" w:eastAsia="Arial"/>
          <w:b/>
          <w:i w:val="0"/>
          <w:color w:val="007C78"/>
          <w:sz w:val="17"/>
        </w:rPr>
        <w:t xml:space="preserve">Fixed scope. </w:t>
      </w:r>
      <w:r>
        <w:rPr>
          <w:rFonts w:ascii="Arial" w:hAnsi="Arial" w:eastAsia="Arial"/>
          <w:b w:val="0"/>
          <w:i w:val="0"/>
          <w:color w:val="17324D"/>
          <w:sz w:val="17"/>
        </w:rPr>
        <w:t>2023–24 means 1 April 2023 to 31 March 2024; 2024–25 means 1 April 2024 to 31 March 2025. Both are complete, like-for-like financial years across England and Scotland.</w:t>
      </w:r>
    </w:p>
    <w:tbl>
      <w:tblPr>
        <w:tblStyle w:val="TableGrid"/>
        <w:tblW w:type="auto" w:w="0"/>
        <w:jc w:val="center"/>
        <w:tblLayout w:type="fixed"/>
        <w:tblLook w:firstColumn="1" w:firstRow="1" w:lastColumn="0" w:lastRow="0" w:noHBand="0" w:noVBand="1" w:val="04A0"/>
      </w:tblPr>
      <w:tblGrid>
        <w:gridCol w:w="5244"/>
        <w:gridCol w:w="5244"/>
      </w:tblGrid>
      <w:tr>
        <w:trPr>
          <w:cantSplit/>
          <w:tblHeader w:val="true"/>
        </w:trPr>
        <w:tc>
          <w:tcPr>
            <w:tcW w:type="dxa" w:w="2324"/>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17324D"/>
          </w:tcPr>
          <w:p>
            <w:pPr>
              <w:spacing w:before="0" w:after="0" w:line="240" w:lineRule="auto"/>
              <w:jc w:val="left"/>
            </w:pPr>
            <w:r>
              <w:rPr>
                <w:rFonts w:ascii="Arial" w:hAnsi="Arial" w:eastAsia="Arial"/>
                <w:b/>
                <w:i w:val="0"/>
                <w:color w:val="FFFFFF"/>
                <w:sz w:val="15"/>
              </w:rPr>
              <w:t>Term</w:t>
            </w:r>
          </w:p>
        </w:tc>
        <w:tc>
          <w:tcPr>
            <w:tcW w:type="dxa" w:w="7370"/>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17324D"/>
          </w:tcPr>
          <w:p>
            <w:pPr>
              <w:spacing w:before="0" w:after="0" w:line="240" w:lineRule="auto"/>
              <w:jc w:val="left"/>
            </w:pPr>
            <w:r>
              <w:rPr>
                <w:rFonts w:ascii="Arial" w:hAnsi="Arial" w:eastAsia="Arial"/>
                <w:b/>
                <w:i w:val="0"/>
                <w:color w:val="FFFFFF"/>
                <w:sz w:val="15"/>
              </w:rPr>
              <w:t>Required use in this response and later comparison</w:t>
            </w:r>
          </w:p>
        </w:tc>
      </w:tr>
      <w:tr>
        <w:trPr>
          <w:cantSplit/>
        </w:trPr>
        <w:tc>
          <w:tcPr>
            <w:tcW w:type="dxa" w:w="2324"/>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5"/>
              </w:rPr>
              <w:t>Internally recorded safeguarding concern</w:t>
            </w:r>
          </w:p>
        </w:tc>
        <w:tc>
          <w:tcPr>
            <w:tcW w:type="dxa" w:w="7370"/>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5"/>
              </w:rPr>
              <w:t>A concern recorded within Meadowgate. It is neither an allegation proved nor a statutory decision.</w:t>
            </w:r>
          </w:p>
        </w:tc>
      </w:tr>
      <w:tr>
        <w:trPr>
          <w:cantSplit/>
        </w:trPr>
        <w:tc>
          <w:tcPr>
            <w:tcW w:type="dxa" w:w="2324"/>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5"/>
              </w:rPr>
              <w:t>Onward statutory referral</w:t>
            </w:r>
          </w:p>
        </w:tc>
        <w:tc>
          <w:tcPr>
            <w:tcW w:type="dxa" w:w="7370"/>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5"/>
              </w:rPr>
              <w:t>A matter passed to local authority social work/children's social care, police, or another statutory service. It is not an assessment outcome or substantiated finding.</w:t>
            </w:r>
          </w:p>
        </w:tc>
      </w:tr>
      <w:tr>
        <w:trPr>
          <w:cantSplit/>
        </w:trPr>
        <w:tc>
          <w:tcPr>
            <w:tcW w:type="dxa" w:w="2324"/>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5"/>
              </w:rPr>
              <w:t>Peatmoor's “referral”</w:t>
            </w:r>
          </w:p>
        </w:tc>
        <w:tc>
          <w:tcPr>
            <w:tcW w:type="dxa" w:w="7370"/>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5"/>
              </w:rPr>
              <w:t>A reported umbrella term only until its components are verified. Do not combine internal concerns and onward statutory referrals into one metric; report the two series separately.</w:t>
            </w:r>
          </w:p>
        </w:tc>
      </w:tr>
      <w:tr>
        <w:trPr>
          <w:cantSplit/>
        </w:trPr>
        <w:tc>
          <w:tcPr>
            <w:tcW w:type="dxa" w:w="2324"/>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5"/>
              </w:rPr>
              <w:t>Stage discipline</w:t>
            </w:r>
          </w:p>
        </w:tc>
        <w:tc>
          <w:tcPr>
            <w:tcW w:type="dxa" w:w="7370"/>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5"/>
              </w:rPr>
              <w:t>Concern received → internal screening → onward statutory referral/consultation where indicated → statutory assessment → substantiated finding. These stages are not interchangeable.</w:t>
            </w:r>
          </w:p>
        </w:tc>
      </w:tr>
    </w:tbl>
    <w:p>
      <w:pPr>
        <w:spacing w:before="80" w:after="60" w:line="250" w:lineRule="auto"/>
      </w:pPr>
      <w:r>
        <w:rPr>
          <w:rFonts w:ascii="Arial" w:hAnsi="Arial" w:eastAsia="Arial"/>
          <w:b/>
          <w:i w:val="0"/>
          <w:color w:val="007C78"/>
          <w:sz w:val="17"/>
        </w:rPr>
        <w:t xml:space="preserve">Defensible conclusion. </w:t>
      </w:r>
      <w:r>
        <w:rPr>
          <w:rFonts w:ascii="Arial" w:hAnsi="Arial" w:eastAsia="Arial"/>
          <w:b w:val="0"/>
          <w:i w:val="0"/>
          <w:color w:val="17324D"/>
          <w:sz w:val="17"/>
        </w:rPr>
        <w:t>The only trend statement available is that Peatmoor reported an increase. Its magnitude, rate, composition, location, response route, and significance remain unverified. It does not demonstrate increased harm, abuse, employer culpability, or any substantiated safeguarding finding.</w:t>
      </w:r>
    </w:p>
    <w:p>
      <w:pPr>
        <w:spacing w:before="0" w:after="40" w:line="245" w:lineRule="auto"/>
        <w:ind w:left="238" w:hanging="159"/>
      </w:pPr>
      <w:r>
        <w:rPr>
          <w:rFonts w:ascii="Arial" w:hAnsi="Arial" w:eastAsia="Arial"/>
          <w:b/>
          <w:i w:val="0"/>
          <w:color w:val="007C78"/>
          <w:sz w:val="16"/>
        </w:rPr>
        <w:t xml:space="preserve">• </w:t>
      </w:r>
      <w:r>
        <w:rPr>
          <w:rFonts w:ascii="Arial" w:hAnsi="Arial" w:eastAsia="Arial"/>
          <w:b/>
          <w:i w:val="0"/>
          <w:color w:val="17324D"/>
          <w:sz w:val="16"/>
        </w:rPr>
        <w:t xml:space="preserve">Measures to verify: </w:t>
      </w:r>
      <w:r>
        <w:rPr>
          <w:rFonts w:ascii="Arial" w:hAnsi="Arial" w:eastAsia="Arial"/>
          <w:b w:val="0"/>
          <w:i w:val="0"/>
          <w:color w:val="17324D"/>
          <w:sz w:val="16"/>
        </w:rPr>
        <w:t>report absolute event counts separately for internal concerns and onward statutory referrals; report unique children and unique families separately to show reach. Link true duplicate records and exclude them from totals with an audit trail; retain and identify genuine repeat episodes rather than erasing them.</w:t>
      </w:r>
    </w:p>
    <w:p>
      <w:pPr>
        <w:spacing w:before="0" w:after="40" w:line="245" w:lineRule="auto"/>
        <w:ind w:left="238" w:hanging="159"/>
      </w:pPr>
      <w:r>
        <w:rPr>
          <w:rFonts w:ascii="Arial" w:hAnsi="Arial" w:eastAsia="Arial"/>
          <w:b/>
          <w:i w:val="0"/>
          <w:color w:val="007C78"/>
          <w:sz w:val="16"/>
        </w:rPr>
        <w:t xml:space="preserve">• </w:t>
      </w:r>
      <w:r>
        <w:rPr>
          <w:rFonts w:ascii="Arial" w:hAnsi="Arial" w:eastAsia="Arial"/>
          <w:b/>
          <w:i w:val="0"/>
          <w:color w:val="17324D"/>
          <w:sz w:val="16"/>
        </w:rPr>
        <w:t xml:space="preserve">Exposure and comparability: </w:t>
      </w:r>
      <w:r>
        <w:rPr>
          <w:rFonts w:ascii="Arial" w:hAnsi="Arial" w:eastAsia="Arial"/>
          <w:b w:val="0"/>
          <w:i w:val="0"/>
          <w:color w:val="17324D"/>
          <w:sz w:val="16"/>
        </w:rPr>
        <w:t>alongside counts, calculate a rate only against a verified denominator such as resident children, occupied family units, or family-months. Reconcile consistent definitions, reporting cut-offs, completeness, missing fields, record dates, and any change in recording practice before comparing periods.</w:t>
      </w:r>
    </w:p>
    <w:p>
      <w:pPr>
        <w:spacing w:before="0" w:after="40" w:line="245" w:lineRule="auto"/>
        <w:ind w:left="238" w:hanging="159"/>
      </w:pPr>
      <w:r>
        <w:rPr>
          <w:rFonts w:ascii="Arial" w:hAnsi="Arial" w:eastAsia="Arial"/>
          <w:b/>
          <w:i w:val="0"/>
          <w:color w:val="007C78"/>
          <w:sz w:val="16"/>
        </w:rPr>
        <w:t xml:space="preserve">• </w:t>
      </w:r>
      <w:r>
        <w:rPr>
          <w:rFonts w:ascii="Arial" w:hAnsi="Arial" w:eastAsia="Arial"/>
          <w:b/>
          <w:i w:val="0"/>
          <w:color w:val="17324D"/>
          <w:sz w:val="16"/>
        </w:rPr>
        <w:t xml:space="preserve">Breakdown and interpretation: </w:t>
      </w:r>
      <w:r>
        <w:rPr>
          <w:rFonts w:ascii="Arial" w:hAnsi="Arial" w:eastAsia="Arial"/>
          <w:b w:val="0"/>
          <w:i w:val="0"/>
          <w:color w:val="17324D"/>
          <w:sz w:val="16"/>
        </w:rPr>
        <w:t>where safe, separate England/Scotland, safely grouped location, concern type, response route, and agency response/outcome field. Test changed occupancy, awareness, access to reporting, recording practice, category mix, duplicates, and repeat contacts as hypotheses, not findings.</w:t>
      </w:r>
    </w:p>
    <w:p>
      <w:pPr>
        <w:keepNext/>
        <w:spacing w:before="160" w:after="60" w:line="240" w:lineRule="auto"/>
      </w:pPr>
      <w:r>
        <w:rPr>
          <w:rFonts w:ascii="Arial" w:hAnsi="Arial" w:eastAsia="Arial"/>
          <w:b/>
          <w:i w:val="0"/>
          <w:color w:val="007C78"/>
          <w:sz w:val="22"/>
        </w:rPr>
        <w:t>2. Safeguarding boundaries and present-safety rule</w:t>
      </w:r>
    </w:p>
    <w:tbl>
      <w:tblPr>
        <w:tblStyle w:val="TableGrid"/>
        <w:tblW w:type="auto" w:w="0"/>
        <w:jc w:val="center"/>
        <w:tblLayout w:type="fixed"/>
        <w:tblLook w:firstColumn="1" w:firstRow="1" w:lastColumn="0" w:lastRow="0" w:noHBand="0" w:noVBand="1" w:val="04A0"/>
      </w:tblPr>
      <w:tblGrid>
        <w:gridCol w:w="5244"/>
        <w:gridCol w:w="5244"/>
      </w:tblGrid>
      <w:tr>
        <w:trPr>
          <w:cantSplit/>
          <w:tblHeader w:val="true"/>
        </w:trPr>
        <w:tc>
          <w:tcPr>
            <w:tcW w:type="dxa" w:w="4847"/>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17324D"/>
          </w:tcPr>
          <w:p>
            <w:pPr>
              <w:spacing w:before="0" w:after="0" w:line="240" w:lineRule="auto"/>
              <w:jc w:val="left"/>
            </w:pPr>
            <w:r>
              <w:rPr>
                <w:rFonts w:ascii="Arial" w:hAnsi="Arial" w:eastAsia="Arial"/>
                <w:b/>
                <w:i w:val="0"/>
                <w:color w:val="FFFFFF"/>
                <w:sz w:val="14"/>
              </w:rPr>
              <w:t>England</w:t>
            </w:r>
          </w:p>
        </w:tc>
        <w:tc>
          <w:tcPr>
            <w:tcW w:type="dxa" w:w="4847"/>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17324D"/>
          </w:tcPr>
          <w:p>
            <w:pPr>
              <w:spacing w:before="0" w:after="0" w:line="240" w:lineRule="auto"/>
              <w:jc w:val="left"/>
            </w:pPr>
            <w:r>
              <w:rPr>
                <w:rFonts w:ascii="Arial" w:hAnsi="Arial" w:eastAsia="Arial"/>
                <w:b/>
                <w:i w:val="0"/>
                <w:color w:val="FFFFFF"/>
                <w:sz w:val="14"/>
              </w:rPr>
              <w:t>Scotland</w:t>
            </w:r>
          </w:p>
        </w:tc>
      </w:tr>
      <w:tr>
        <w:trPr>
          <w:cantSplit/>
        </w:trPr>
        <w:tc>
          <w:tcPr>
            <w:tcW w:type="dxa" w:w="4847"/>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4"/>
              </w:rPr>
              <w:t>Section 17 Children Act 1989 support for a child in need may be appropriate without proving abuse or reaching a section 47 threshold. Under section 47, the relevant local authority acts where it has reasonable cause to suspect a child is suffering, or is likely to suffer, significant harm. Meadowgate does not make statutory enquiries or findings. Route ordinary concerns to the relevant local authority children's social care service under local procedures; police or emergency services are for immediate danger, urgent medical need, or suspected crime, not every welfare concern.</w:t>
            </w:r>
          </w:p>
        </w:tc>
        <w:tc>
          <w:tcPr>
            <w:tcW w:type="dxa" w:w="4847"/>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4"/>
              </w:rPr>
              <w:t>Section 22 Children (Scotland) Act 1995 describes the local authority support role for a child in need; receipt of support is not a child-protection determination. Information that a child may be at risk of significant harm goes promptly to local social work or police. Statutory partners decide whether an inter-agency referral discussion or other action is required. Referral to the Principal Reporter or compulsory measures is not an automatic consequence of each concern.</w:t>
            </w:r>
          </w:p>
        </w:tc>
      </w:tr>
    </w:tbl>
    <w:p>
      <w:pPr>
        <w:spacing w:before="80" w:after="60" w:line="250" w:lineRule="auto"/>
      </w:pPr>
      <w:r>
        <w:rPr>
          <w:rFonts w:ascii="Arial" w:hAnsi="Arial" w:eastAsia="Arial"/>
          <w:b/>
          <w:i w:val="0"/>
          <w:color w:val="007C78"/>
          <w:sz w:val="17"/>
        </w:rPr>
        <w:t xml:space="preserve">Cross-border rule. </w:t>
      </w:r>
      <w:r>
        <w:rPr>
          <w:rFonts w:ascii="Arial" w:hAnsi="Arial" w:eastAsia="Arial"/>
          <w:b w:val="0"/>
          <w:i w:val="0"/>
          <w:color w:val="17324D"/>
          <w:sz w:val="17"/>
        </w:rPr>
        <w:t>For urgent action, contact services where the child is currently present. Coordinate with any home or ordinarily responsible authority afterwards as needed; Meadowgate's headquarters, a responsibility discussion, or a local reporting cut-off must not delay safety action. Use the applicable local safeguarding procedures and consultation routes. Meadowgate may screen, support, record, consult, and refer, but local thresholds do not transfer statutory decision-making powers to Meadowgate.</w:t>
      </w:r>
    </w:p>
    <w:p>
      <w:pPr>
        <w:spacing w:before="20" w:after="60" w:line="250" w:lineRule="auto"/>
      </w:pPr>
      <w:r>
        <w:rPr>
          <w:rFonts w:ascii="Arial" w:hAnsi="Arial" w:eastAsia="Arial"/>
          <w:b/>
          <w:i w:val="0"/>
          <w:color w:val="A33A00"/>
          <w:sz w:val="17"/>
        </w:rPr>
        <w:t xml:space="preserve">No-delay rule. </w:t>
      </w:r>
      <w:r>
        <w:rPr>
          <w:rFonts w:ascii="Arial" w:hAnsi="Arial" w:eastAsia="Arial"/>
          <w:b w:val="0"/>
          <w:i w:val="0"/>
          <w:color w:val="17324D"/>
          <w:sz w:val="17"/>
        </w:rPr>
        <w:t>Data collection, management review, consent-seeking, and the 16:00 oversight deadline never delay action on a current protection concern. Immediate danger, urgent medical need, a missing child, continuing access by a suspected perpetrator, or inability to secure safety requires immediate protective or emergency action.</w:t>
      </w:r>
    </w:p>
    <w:tbl>
      <w:tblPr>
        <w:tblStyle w:val="TableGrid"/>
        <w:tblW w:type="auto" w:w="0"/>
        <w:jc w:val="center"/>
        <w:tblLayout w:type="fixed"/>
        <w:tblLook w:firstColumn="1" w:firstRow="1" w:lastColumn="0" w:lastRow="0" w:noHBand="0" w:noVBand="1" w:val="04A0"/>
      </w:tblPr>
      <w:tblGrid>
        <w:gridCol w:w="5244"/>
        <w:gridCol w:w="5244"/>
      </w:tblGrid>
      <w:tr>
        <w:trPr>
          <w:cantSplit/>
          <w:tblHeader w:val="true"/>
        </w:trPr>
        <w:tc>
          <w:tcPr>
            <w:tcW w:type="dxa" w:w="2268"/>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007C78"/>
          </w:tcPr>
          <w:p>
            <w:pPr>
              <w:spacing w:before="0" w:after="0" w:line="240" w:lineRule="auto"/>
              <w:jc w:val="left"/>
            </w:pPr>
            <w:r>
              <w:rPr>
                <w:rFonts w:ascii="Arial" w:hAnsi="Arial" w:eastAsia="Arial"/>
                <w:b/>
                <w:i w:val="0"/>
                <w:color w:val="FFFFFF"/>
                <w:sz w:val="15"/>
              </w:rPr>
              <w:t>Disposition</w:t>
            </w:r>
          </w:p>
        </w:tc>
        <w:tc>
          <w:tcPr>
            <w:tcW w:type="dxa" w:w="7427"/>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007C78"/>
          </w:tcPr>
          <w:p>
            <w:pPr>
              <w:spacing w:before="0" w:after="0" w:line="240" w:lineRule="auto"/>
              <w:jc w:val="left"/>
            </w:pPr>
            <w:r>
              <w:rPr>
                <w:rFonts w:ascii="Arial" w:hAnsi="Arial" w:eastAsia="Arial"/>
                <w:b/>
                <w:i w:val="0"/>
                <w:color w:val="FFFFFF"/>
                <w:sz w:val="15"/>
              </w:rPr>
              <w:t>Operational boundary</w:t>
            </w:r>
          </w:p>
        </w:tc>
      </w:tr>
      <w:tr>
        <w:trPr>
          <w:cantSplit/>
        </w:trPr>
        <w:tc>
          <w:tcPr>
            <w:tcW w:type="dxa" w:w="2268"/>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5"/>
              </w:rPr>
              <w:t>Immediate escalation</w:t>
            </w:r>
          </w:p>
        </w:tc>
        <w:tc>
          <w:tcPr>
            <w:tcW w:type="dxa" w:w="7427"/>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5"/>
              </w:rPr>
              <w:t>Screen each known matter and every live disclosure for current child location, immediate safety, basic needs, urgent medical need, alleged-perpetrator access, missing-child concerns, and whether statutory services are already involved. Escalate/consult without waiting for substantiation where there is reasonable concern about significant harm, immediate danger, urgent unmet need, criminal conduct, or inability to secure safety.</w:t>
            </w:r>
          </w:p>
        </w:tc>
      </w:tr>
      <w:tr>
        <w:trPr>
          <w:cantSplit/>
        </w:trPr>
        <w:tc>
          <w:tcPr>
            <w:tcW w:type="dxa" w:w="2268"/>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5"/>
              </w:rPr>
              <w:t>Record and monitored support</w:t>
            </w:r>
          </w:p>
        </w:tc>
        <w:tc>
          <w:tcPr>
            <w:tcW w:type="dxa" w:w="7427"/>
            <w:tcMar>
              <w:top w:w="75" w:type="dxa"/>
              <w:start w:w="95" w:type="dxa"/>
              <w:bottom w:w="75" w:type="dxa"/>
              <w:end w:w="95"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5"/>
              </w:rPr>
              <w:t>Only lower-level welfare concerns with no current significant-harm or immediate-danger indicator after screening may be recorded and monitored. Petra Yamamoto sets a safe contact/observation plan and a reconsideration point no later than 25 April 2025; repeat, cumulative, or changed concerns trigger re-screening and escalation consideration. Proportionate support may still begin.</w:t>
            </w:r>
          </w:p>
        </w:tc>
      </w:tr>
    </w:tbl>
    <w:p>
      <w:pPr>
        <w:keepNext/>
        <w:spacing w:before="160" w:after="60" w:line="240" w:lineRule="auto"/>
      </w:pPr>
      <w:r>
        <w:rPr>
          <w:rFonts w:ascii="Arial" w:hAnsi="Arial" w:eastAsia="Arial"/>
          <w:b/>
          <w:i w:val="0"/>
          <w:color w:val="007C78"/>
          <w:sz w:val="22"/>
        </w:rPr>
        <w:t>3. Family contact, information, and privacy controls</w:t>
      </w:r>
    </w:p>
    <w:p>
      <w:pPr>
        <w:spacing w:before="0" w:after="40" w:line="245" w:lineRule="auto"/>
        <w:ind w:left="238" w:hanging="159"/>
      </w:pPr>
      <w:r>
        <w:rPr>
          <w:rFonts w:ascii="Arial" w:hAnsi="Arial" w:eastAsia="Arial"/>
          <w:b/>
          <w:i w:val="0"/>
          <w:color w:val="007C78"/>
          <w:sz w:val="16"/>
        </w:rPr>
        <w:t xml:space="preserve">• </w:t>
      </w:r>
      <w:r>
        <w:rPr>
          <w:rFonts w:ascii="Arial" w:hAnsi="Arial" w:eastAsia="Arial"/>
          <w:b/>
          <w:i w:val="0"/>
          <w:color w:val="17324D"/>
          <w:sz w:val="16"/>
        </w:rPr>
        <w:t xml:space="preserve">Participation and access: </w:t>
      </w:r>
      <w:r>
        <w:rPr>
          <w:rFonts w:ascii="Arial" w:hAnsi="Arial" w:eastAsia="Arial"/>
          <w:b w:val="0"/>
          <w:i w:val="0"/>
          <w:color w:val="17324D"/>
          <w:sz w:val="16"/>
        </w:rPr>
        <w:t>seek the child's views and give them due weight in a way suited to age, understanding, communication, and safety; the child does not carry the safeguarding decision. Involve parents/carers and seek consent where safe and appropriate. Consent is not a veto where seeking it may increase risk or impede necessary safeguarding action; record the rationale for delayed involvement or sharing without consent.</w:t>
      </w:r>
    </w:p>
    <w:p>
      <w:pPr>
        <w:spacing w:before="0" w:after="40" w:line="245" w:lineRule="auto"/>
        <w:ind w:left="238" w:hanging="159"/>
      </w:pPr>
      <w:r>
        <w:rPr>
          <w:rFonts w:ascii="Arial" w:hAnsi="Arial" w:eastAsia="Arial"/>
          <w:b/>
          <w:i w:val="0"/>
          <w:color w:val="007C78"/>
          <w:sz w:val="16"/>
        </w:rPr>
        <w:t xml:space="preserve">• </w:t>
      </w:r>
      <w:r>
        <w:rPr>
          <w:rFonts w:ascii="Arial" w:hAnsi="Arial" w:eastAsia="Arial"/>
          <w:b/>
          <w:i w:val="0"/>
          <w:color w:val="17324D"/>
          <w:sz w:val="16"/>
        </w:rPr>
        <w:t xml:space="preserve">Safe communication: </w:t>
      </w:r>
      <w:r>
        <w:rPr>
          <w:rFonts w:ascii="Arial" w:hAnsi="Arial" w:eastAsia="Arial"/>
          <w:b w:val="0"/>
          <w:i w:val="0"/>
          <w:color w:val="17324D"/>
          <w:sz w:val="16"/>
        </w:rPr>
        <w:t>arrange accessible contact and an independent competent interpreter where needed. Do not use a child, another resident, or an employer representative to interpret sensitive safeguarding disclosures. Check whether an employer, accommodation controller, family member, or alleged perpetrator may monitor access; use a safe direct channel or agreed alternative where necessary.</w:t>
      </w:r>
    </w:p>
    <w:p>
      <w:pPr>
        <w:spacing w:before="0" w:after="40" w:line="245" w:lineRule="auto"/>
        <w:ind w:left="238" w:hanging="159"/>
      </w:pPr>
      <w:r>
        <w:rPr>
          <w:rFonts w:ascii="Arial" w:hAnsi="Arial" w:eastAsia="Arial"/>
          <w:b/>
          <w:i w:val="0"/>
          <w:color w:val="007C78"/>
          <w:sz w:val="16"/>
        </w:rPr>
        <w:t xml:space="preserve">• </w:t>
      </w:r>
      <w:r>
        <w:rPr>
          <w:rFonts w:ascii="Arial" w:hAnsi="Arial" w:eastAsia="Arial"/>
          <w:b/>
          <w:i w:val="0"/>
          <w:color w:val="17324D"/>
          <w:sz w:val="16"/>
        </w:rPr>
        <w:t xml:space="preserve">Seasonal-worker context: </w:t>
      </w:r>
      <w:r>
        <w:rPr>
          <w:rFonts w:ascii="Arial" w:hAnsi="Arial" w:eastAsia="Arial"/>
          <w:b w:val="0"/>
          <w:i w:val="0"/>
          <w:color w:val="17324D"/>
          <w:sz w:val="16"/>
        </w:rPr>
        <w:t>consider language, unfamiliarity with services, employment or accommodation dependency, isolation, and fear of retaliation as possible barriers to help-seeking. They inform a tailored support offer and do not, by themselves, evidence harm.</w:t>
      </w:r>
    </w:p>
    <w:p>
      <w:pPr>
        <w:spacing w:before="0" w:after="40" w:line="245" w:lineRule="auto"/>
        <w:ind w:left="238" w:hanging="159"/>
      </w:pPr>
      <w:r>
        <w:rPr>
          <w:rFonts w:ascii="Arial" w:hAnsi="Arial" w:eastAsia="Arial"/>
          <w:b/>
          <w:i w:val="0"/>
          <w:color w:val="007C78"/>
          <w:sz w:val="16"/>
        </w:rPr>
        <w:t xml:space="preserve">• </w:t>
      </w:r>
      <w:r>
        <w:rPr>
          <w:rFonts w:ascii="Arial" w:hAnsi="Arial" w:eastAsia="Arial"/>
          <w:b/>
          <w:i w:val="0"/>
          <w:color w:val="17324D"/>
          <w:sz w:val="16"/>
        </w:rPr>
        <w:t xml:space="preserve">Information sharing: </w:t>
      </w:r>
      <w:r>
        <w:rPr>
          <w:rFonts w:ascii="Arial" w:hAnsi="Arial" w:eastAsia="Arial"/>
          <w:b w:val="0"/>
          <w:i w:val="0"/>
          <w:color w:val="17324D"/>
          <w:sz w:val="16"/>
        </w:rPr>
        <w:t>share information lawfully when necessary and proportionate for safeguarding, using an appropriate data-protection basis and the minimum necessary disclosure. Privacy is protected but absolute confidentiality cannot be promised. Record contemporaneously what was shared or withheld, with whom, why, under whose decision, and when.</w:t>
      </w:r>
    </w:p>
    <w:p>
      <w:pPr>
        <w:spacing w:before="0" w:after="40" w:line="245" w:lineRule="auto"/>
        <w:ind w:left="238" w:hanging="159"/>
      </w:pPr>
      <w:r>
        <w:rPr>
          <w:rFonts w:ascii="Arial" w:hAnsi="Arial" w:eastAsia="Arial"/>
          <w:b/>
          <w:i w:val="0"/>
          <w:color w:val="007C78"/>
          <w:sz w:val="16"/>
        </w:rPr>
        <w:t xml:space="preserve">• </w:t>
      </w:r>
      <w:r>
        <w:rPr>
          <w:rFonts w:ascii="Arial" w:hAnsi="Arial" w:eastAsia="Arial"/>
          <w:b/>
          <w:i w:val="0"/>
          <w:color w:val="17324D"/>
          <w:sz w:val="16"/>
        </w:rPr>
        <w:t xml:space="preserve">Oversight reporting: </w:t>
      </w:r>
      <w:r>
        <w:rPr>
          <w:rFonts w:ascii="Arial" w:hAnsi="Arial" w:eastAsia="Arial"/>
          <w:b w:val="0"/>
          <w:i w:val="0"/>
          <w:color w:val="17324D"/>
          <w:sz w:val="16"/>
        </w:rPr>
        <w:t>send Camila aggregated or appropriately suppressed information only. Do not show a location cell, or combination of location, jurisdiction, type, and route, that could identify a family at a one-family or similarly small location. Combine categories or suppress the result; any necessary case-level review uses a secure, controlled-access, need-to-know route rather than routine transmission.</w:t>
      </w:r>
    </w:p>
    <w:p>
      <w:pPr>
        <w:keepNext/>
        <w:spacing w:before="160" w:after="60" w:line="240" w:lineRule="auto"/>
      </w:pPr>
      <w:r>
        <w:rPr>
          <w:rFonts w:ascii="Arial" w:hAnsi="Arial" w:eastAsia="Arial"/>
          <w:b/>
          <w:i w:val="0"/>
          <w:color w:val="007C78"/>
          <w:sz w:val="22"/>
        </w:rPr>
        <w:t>4. Accountable action schedule</w:t>
      </w:r>
    </w:p>
    <w:tbl>
      <w:tblPr>
        <w:tblStyle w:val="TableGrid"/>
        <w:tblW w:type="auto" w:w="0"/>
        <w:jc w:val="center"/>
        <w:tblLayout w:type="fixed"/>
        <w:tblLook w:firstColumn="1" w:firstRow="1" w:lastColumn="0" w:lastRow="0" w:noHBand="0" w:noVBand="1" w:val="04A0"/>
      </w:tblPr>
      <w:tblGrid>
        <w:gridCol w:w="2622"/>
        <w:gridCol w:w="2622"/>
        <w:gridCol w:w="2622"/>
        <w:gridCol w:w="2622"/>
      </w:tblGrid>
      <w:tr>
        <w:trPr>
          <w:cantSplit/>
          <w:tblHeader w:val="true"/>
        </w:trPr>
        <w:tc>
          <w:tcPr>
            <w:tcW w:type="dxa" w:w="2268"/>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17324D"/>
          </w:tcPr>
          <w:p>
            <w:pPr>
              <w:spacing w:before="0" w:after="0" w:line="240" w:lineRule="auto"/>
              <w:jc w:val="left"/>
            </w:pPr>
            <w:r>
              <w:rPr>
                <w:rFonts w:ascii="Arial" w:hAnsi="Arial" w:eastAsia="Arial"/>
                <w:b/>
                <w:i w:val="0"/>
                <w:color w:val="FFFFFF"/>
                <w:sz w:val="13"/>
              </w:rPr>
              <w:t>Action</w:t>
            </w:r>
          </w:p>
        </w:tc>
        <w:tc>
          <w:tcPr>
            <w:tcW w:type="dxa" w:w="1786"/>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17324D"/>
          </w:tcPr>
          <w:p>
            <w:pPr>
              <w:spacing w:before="0" w:after="0" w:line="240" w:lineRule="auto"/>
              <w:jc w:val="left"/>
            </w:pPr>
            <w:r>
              <w:rPr>
                <w:rFonts w:ascii="Arial" w:hAnsi="Arial" w:eastAsia="Arial"/>
                <w:b/>
                <w:i w:val="0"/>
                <w:color w:val="FFFFFF"/>
                <w:sz w:val="13"/>
              </w:rPr>
              <w:t>Owner</w:t>
            </w:r>
          </w:p>
        </w:tc>
        <w:tc>
          <w:tcPr>
            <w:tcW w:type="dxa" w:w="1899"/>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17324D"/>
          </w:tcPr>
          <w:p>
            <w:pPr>
              <w:spacing w:before="0" w:after="0" w:line="240" w:lineRule="auto"/>
              <w:jc w:val="left"/>
            </w:pPr>
            <w:r>
              <w:rPr>
                <w:rFonts w:ascii="Arial" w:hAnsi="Arial" w:eastAsia="Arial"/>
                <w:b/>
                <w:i w:val="0"/>
                <w:color w:val="FFFFFF"/>
                <w:sz w:val="13"/>
              </w:rPr>
              <w:t>Timing</w:t>
            </w:r>
          </w:p>
        </w:tc>
        <w:tc>
          <w:tcPr>
            <w:tcW w:type="dxa" w:w="3742"/>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17324D"/>
          </w:tcPr>
          <w:p>
            <w:pPr>
              <w:spacing w:before="0" w:after="0" w:line="240" w:lineRule="auto"/>
              <w:jc w:val="left"/>
            </w:pPr>
            <w:r>
              <w:rPr>
                <w:rFonts w:ascii="Arial" w:hAnsi="Arial" w:eastAsia="Arial"/>
                <w:b/>
                <w:i w:val="0"/>
                <w:color w:val="FFFFFF"/>
                <w:sz w:val="13"/>
              </w:rPr>
              <w:t>Observable result</w:t>
            </w:r>
          </w:p>
        </w:tc>
      </w:tr>
      <w:tr>
        <w:trPr>
          <w:cantSplit/>
        </w:trPr>
        <w:tc>
          <w:tcPr>
            <w:tcW w:type="dxa" w:w="2268"/>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3"/>
              </w:rPr>
              <w:t>Status control</w:t>
            </w:r>
          </w:p>
        </w:tc>
        <w:tc>
          <w:tcPr>
            <w:tcW w:type="dxa" w:w="1786"/>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3"/>
              </w:rPr>
              <w:t>Petra Yamamoto</w:t>
            </w:r>
          </w:p>
        </w:tc>
        <w:tc>
          <w:tcPr>
            <w:tcW w:type="dxa" w:w="1899"/>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3"/>
              </w:rPr>
              <w:t>In force 4 April 2025; formal review 25 April 2025</w:t>
            </w:r>
          </w:p>
        </w:tc>
        <w:tc>
          <w:tcPr>
            <w:tcW w:type="dxa" w:w="3742"/>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3"/>
              </w:rPr>
              <w:t>Interim enhanced review recorded and operated; Ingrid Egwuatu chairs the dated decision review.</w:t>
            </w:r>
          </w:p>
        </w:tc>
      </w:tr>
      <w:tr>
        <w:trPr>
          <w:cantSplit/>
        </w:trPr>
        <w:tc>
          <w:tcPr>
            <w:tcW w:type="dxa" w:w="2268"/>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3"/>
              </w:rPr>
              <w:t>Case-by-case present-safety triage</w:t>
            </w:r>
          </w:p>
        </w:tc>
        <w:tc>
          <w:tcPr>
            <w:tcW w:type="dxa" w:w="1786"/>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3"/>
              </w:rPr>
              <w:t>Petra Yamamoto</w:t>
            </w:r>
          </w:p>
        </w:tc>
        <w:tc>
          <w:tcPr>
            <w:tcW w:type="dxa" w:w="1899"/>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3"/>
              </w:rPr>
              <w:t>By 8 April 2025, 12:00; immediately for a live urgent matter</w:t>
            </w:r>
          </w:p>
        </w:tc>
        <w:tc>
          <w:tcPr>
            <w:tcW w:type="dxa" w:w="3742"/>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3"/>
              </w:rPr>
              <w:t>Screen record for every known/live matter, safe-contact plan, and immediate jurisdiction-appropriate escalation where indicated; urgent matters do not wait for the batch review.</w:t>
            </w:r>
          </w:p>
        </w:tc>
      </w:tr>
      <w:tr>
        <w:trPr>
          <w:cantSplit/>
        </w:trPr>
        <w:tc>
          <w:tcPr>
            <w:tcW w:type="dxa" w:w="2268"/>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3"/>
              </w:rPr>
              <w:t>Evidence retrieval and reconciliation</w:t>
            </w:r>
          </w:p>
        </w:tc>
        <w:tc>
          <w:tcPr>
            <w:tcW w:type="dxa" w:w="1786"/>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3"/>
              </w:rPr>
              <w:t>Camila Ellingsen</w:t>
            </w:r>
          </w:p>
        </w:tc>
        <w:tc>
          <w:tcPr>
            <w:tcW w:type="dxa" w:w="1899"/>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3"/>
              </w:rPr>
              <w:t>By 15 April 2025</w:t>
            </w:r>
          </w:p>
        </w:tc>
        <w:tc>
          <w:tcPr>
            <w:tcW w:type="dxa" w:w="3742"/>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3"/>
              </w:rPr>
              <w:t>Controlled provision of pseudonymised referral records, definitions, period cut-offs, response/outcome fields where known, duplicates/repeats treatment, and verified occupancy/exposure denominators; reproducible separate-series comparison.</w:t>
            </w:r>
          </w:p>
        </w:tc>
      </w:tr>
      <w:tr>
        <w:trPr>
          <w:cantSplit/>
        </w:trPr>
        <w:tc>
          <w:tcPr>
            <w:tcW w:type="dxa" w:w="2268"/>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3"/>
              </w:rPr>
              <w:t>Family support and statutory coordination</w:t>
            </w:r>
          </w:p>
        </w:tc>
        <w:tc>
          <w:tcPr>
            <w:tcW w:type="dxa" w:w="1786"/>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3"/>
              </w:rPr>
              <w:t>Petra Yamamoto</w:t>
            </w:r>
          </w:p>
        </w:tc>
        <w:tc>
          <w:tcPr>
            <w:tcW w:type="dxa" w:w="1899"/>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3"/>
              </w:rPr>
              <w:t>Immediate for threshold concerns; by 10 April 2025 for safe needs-led support offers</w:t>
            </w:r>
          </w:p>
        </w:tc>
        <w:tc>
          <w:tcPr>
            <w:tcW w:type="dxa" w:w="3742"/>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3"/>
              </w:rPr>
              <w:t>Current-location consultation/referral through local procedure where indicated; accessible, non-coercive family contact and independent interpreter arrangement where needed. Statutory agencies retain their decisions.</w:t>
            </w:r>
          </w:p>
        </w:tc>
      </w:tr>
      <w:tr>
        <w:trPr>
          <w:cantSplit/>
        </w:trPr>
        <w:tc>
          <w:tcPr>
            <w:tcW w:type="dxa" w:w="2268"/>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3"/>
              </w:rPr>
              <w:t>Oversight update</w:t>
            </w:r>
          </w:p>
        </w:tc>
        <w:tc>
          <w:tcPr>
            <w:tcW w:type="dxa" w:w="1786"/>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3"/>
              </w:rPr>
              <w:t>Petra Yamamoto to Camila Ellingsen and Ingrid Egwuatu</w:t>
            </w:r>
          </w:p>
        </w:tc>
        <w:tc>
          <w:tcPr>
            <w:tcW w:type="dxa" w:w="1899"/>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3"/>
              </w:rPr>
              <w:t>23 April 2025</w:t>
            </w:r>
          </w:p>
        </w:tc>
        <w:tc>
          <w:tcPr>
            <w:tcW w:type="dxa" w:w="3742"/>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FFFFF"/>
          </w:tcPr>
          <w:p>
            <w:pPr>
              <w:spacing w:before="0" w:after="0" w:line="240" w:lineRule="auto"/>
            </w:pPr>
            <w:r>
              <w:rPr>
                <w:rFonts w:ascii="Arial" w:hAnsi="Arial" w:eastAsia="Arial"/>
                <w:b w:val="0"/>
                <w:i w:val="0"/>
                <w:color w:val="17324D"/>
                <w:sz w:val="13"/>
              </w:rPr>
              <w:t>Suppressed/aggregated verified comparison, data-quality limitations, action status, jurisdictional breakdowns where safe, and evidence for Ingrid's 25 April 2025 decision.</w:t>
            </w:r>
          </w:p>
        </w:tc>
      </w:tr>
      <w:tr>
        <w:trPr>
          <w:cantSplit/>
        </w:trPr>
        <w:tc>
          <w:tcPr>
            <w:tcW w:type="dxa" w:w="2268"/>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3"/>
              </w:rPr>
              <w:t>Decision gate</w:t>
            </w:r>
          </w:p>
        </w:tc>
        <w:tc>
          <w:tcPr>
            <w:tcW w:type="dxa" w:w="1786"/>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3"/>
              </w:rPr>
              <w:t>Ingrid Egwuatu</w:t>
            </w:r>
          </w:p>
        </w:tc>
        <w:tc>
          <w:tcPr>
            <w:tcW w:type="dxa" w:w="1899"/>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3"/>
              </w:rPr>
              <w:t>25 April 2025</w:t>
            </w:r>
          </w:p>
        </w:tc>
        <w:tc>
          <w:tcPr>
            <w:tcW w:type="dxa" w:w="3742"/>
            <w:tcMar>
              <w:top w:w="45" w:type="dxa"/>
              <w:start w:w="80" w:type="dxa"/>
              <w:bottom w:w="45" w:type="dxa"/>
              <w:end w:w="80" w:type="dxa"/>
            </w:tcMar>
            <w:vAlign w:val="top"/>
            <w:tcBorders>
              <w:top w:val="single" w:sz="4" w:color="CBD5D9"/>
              <w:left w:val="single" w:sz="4" w:color="CBD5D9"/>
              <w:bottom w:val="single" w:sz="4" w:color="CBD5D9"/>
              <w:right w:val="single" w:sz="4" w:color="CBD5D9"/>
            </w:tcBorders>
            <w:shd w:fill="F3F5F6"/>
          </w:tcPr>
          <w:p>
            <w:pPr>
              <w:spacing w:before="0" w:after="0" w:line="240" w:lineRule="auto"/>
            </w:pPr>
            <w:r>
              <w:rPr>
                <w:rFonts w:ascii="Arial" w:hAnsi="Arial" w:eastAsia="Arial"/>
                <w:b w:val="0"/>
                <w:i w:val="0"/>
                <w:color w:val="17324D"/>
                <w:sz w:val="13"/>
              </w:rPr>
              <w:t>Use the update, current-safety dispositions, support uptake where known, and verified data limits to continue, adjust, or close the enhanced family-support response.</w:t>
            </w:r>
          </w:p>
        </w:tc>
      </w:tr>
    </w:tbl>
    <w:p>
      <w:pPr>
        <w:keepNext/>
        <w:spacing w:before="160" w:after="60" w:line="240" w:lineRule="auto"/>
      </w:pPr>
      <w:r>
        <w:rPr>
          <w:rFonts w:ascii="Arial" w:hAnsi="Arial" w:eastAsia="Arial"/>
          <w:b/>
          <w:i w:val="0"/>
          <w:color w:val="007C78"/>
          <w:sz w:val="22"/>
        </w:rPr>
        <w:t>5. Recommendation to Ingrid Egwuatu</w:t>
      </w:r>
    </w:p>
    <w:tbl>
      <w:tblPr>
        <w:tblW w:type="auto" w:w="0"/>
        <w:jc w:val="center"/>
        <w:tblLayout w:type="fixed"/>
        <w:tblLook w:firstColumn="1" w:firstRow="1" w:lastColumn="0" w:lastRow="0" w:noHBand="0" w:noVBand="1" w:val="04A0"/>
      </w:tblPr>
      <w:tblGrid>
        <w:gridCol w:w="10488"/>
      </w:tblGrid>
      <w:tr>
        <w:tc>
          <w:tcPr>
            <w:tcW w:type="dxa" w:w="9694"/>
            <w:tcMar>
              <w:top w:w="100" w:type="dxa"/>
              <w:start w:w="130" w:type="dxa"/>
              <w:bottom w:w="100" w:type="dxa"/>
              <w:end w:w="130" w:type="dxa"/>
            </w:tcMar>
            <w:shd w:fill="E8F3F2"/>
            <w:tcBorders>
              <w:top w:val="single" w:sz="10" w:color="007C78"/>
              <w:left w:val="single" w:sz="10" w:color="007C78"/>
              <w:bottom w:val="single" w:sz="10" w:color="007C78"/>
              <w:right w:val="single" w:sz="10" w:color="007C78"/>
            </w:tcBorders>
          </w:tcPr>
          <w:p>
            <w:pPr>
              <w:spacing w:before="0" w:after="0" w:line="250" w:lineRule="auto"/>
            </w:pPr>
            <w:r>
              <w:rPr>
                <w:rFonts w:ascii="Arial" w:hAnsi="Arial" w:eastAsia="Arial"/>
                <w:b/>
                <w:i w:val="0"/>
                <w:color w:val="17324D"/>
                <w:sz w:val="18"/>
              </w:rPr>
              <w:t>Approve and maintain the interim enhanced review</w:t>
            </w:r>
            <w:r>
              <w:rPr>
                <w:rFonts w:ascii="Arial" w:hAnsi="Arial" w:eastAsia="Arial"/>
                <w:b w:val="0"/>
                <w:i w:val="0"/>
                <w:color w:val="17324D"/>
                <w:sz w:val="17"/>
              </w:rPr>
              <w:t xml:space="preserve"> effective 4 April 2025, with Petra Yamamoto as operational owner and a 25 April 2025 review chaired by Ingrid Egwuatu. Begin the proportionate, time-limited enhanced family-support response now, alongside threshold-based escalation where required. At the review, decide whether to continue, adjust, or close it using the verified comparison, data-quality limits, and action evidence. It is precautionary, not a finding that harm has increased, and does not replace statutory action.</w:t>
            </w:r>
          </w:p>
        </w:tc>
      </w:tr>
    </w:tbl>
    <w:sectPr w:rsidR="00FC693F" w:rsidRPr="0006063C" w:rsidSect="00034616">
      <w:headerReference w:type="default" r:id="rId9"/>
      <w:footerReference w:type="default" r:id="rId10"/>
      <w:pgSz w:w="11906" w:h="16838"/>
      <w:pgMar w:top="709" w:right="709" w:bottom="680" w:left="709" w:header="34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eastAsia="Arial"/>
        <w:b w:val="0"/>
        <w:i w:val="0"/>
        <w:color w:val="5B6770"/>
        <w:sz w:val="14"/>
      </w:rPr>
      <w:t xml:space="preserve">Restricted safeguarding oversight: share only on a necessary, proportionate basis  |  4 April 2025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Arial" w:hAnsi="Arial" w:eastAsia="Arial"/>
        <w:b/>
        <w:i w:val="0"/>
        <w:color w:val="007C78"/>
        <w:sz w:val="16"/>
      </w:rPr>
      <w:t>MEADOWGATE COOPERATIVE</w:t>
    </w:r>
    <w:r>
      <w:rPr>
        <w:rFonts w:ascii="Arial" w:hAnsi="Arial" w:eastAsia="Arial"/>
        <w:b w:val="0"/>
        <w:i w:val="0"/>
        <w:color w:val="5B6770"/>
        <w:sz w:val="16"/>
      </w:rPr>
      <w:t xml:space="preserve">  |  SAFEGUARDING OVERSIGHT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17324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Meadowgate Safeguarding Oversight Response</dc:title>
  <dc:subject>Cross-jurisdiction safeguarding response for Peatmoor Networks</dc:subject>
  <dc:creator>Petra Yamamoto</dc:creator>
  <cp:keywords>safeguarding, oversight, England, Scotland, family support</cp:keywords>
  <dc:description>Legal and practice position current as at 31 March 2025.</dc:description>
  <cp:lastModifiedBy/>
  <cp:revision>1</cp:revision>
  <dcterms:created xsi:type="dcterms:W3CDTF">2013-12-23T23:15:00Z</dcterms:created>
  <dcterms:modified xsi:type="dcterms:W3CDTF">2013-12-23T23:15:00Z</dcterms:modified>
  <cp:category/>
</cp:coreProperties>
</file>