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Display" w:hAnsi="Aptos Display"/>
          <w:b/>
          <w:color w:val="17365D"/>
          <w:sz w:val="38"/>
        </w:rPr>
        <w:t>MONTH-END CLOSE &amp; RECONCILIATION</w:t>
      </w:r>
    </w:p>
    <w:p>
      <w:pPr>
        <w:spacing w:after="160"/>
      </w:pPr>
      <w:r>
        <w:rPr>
          <w:i/>
          <w:color w:val="007F86"/>
          <w:sz w:val="21"/>
        </w:rPr>
        <w:t>Target control design for the five-elevator cooperative</w:t>
      </w:r>
    </w:p>
    <w:tbl>
      <w:tblPr>
        <w:tblW w:type="auto" w:w="0"/>
        <w:tblLayout w:type="fixed"/>
        <w:tblLook w:firstColumn="1" w:firstRow="1" w:lastColumn="0" w:lastRow="0" w:noHBand="0" w:noVBand="1" w:val="04A0"/>
      </w:tblPr>
      <w:tblGrid>
        <w:gridCol w:w="10656"/>
      </w:tblGrid>
      <w:tr>
        <w:tc>
          <w:tcPr>
            <w:tcW w:type="dxa" w:w="10656"/>
            <w:shd w:fill="EAF2F5"/>
            <w:tcBorders>
              <w:top w:val="single" w:sz="4" w:color="007F86"/>
              <w:left w:val="single" w:sz="4" w:color="007F86"/>
              <w:bottom w:val="single" w:sz="4" w:color="007F86"/>
              <w:right w:val="single" w:sz="4" w:color="007F86"/>
            </w:tcBorders>
          </w:tcPr>
          <w:p>
            <w:pPr>
              <w:spacing w:after="40" w:before="40"/>
            </w:pPr>
            <w:r>
              <w:rPr>
                <w:b/>
                <w:color w:val="007F86"/>
                <w:sz w:val="18"/>
              </w:rPr>
              <w:t xml:space="preserve">PURPOSE  </w:t>
            </w:r>
            <w:r>
              <w:rPr>
                <w:sz w:val="18"/>
              </w:rPr>
              <w:t>A practical operating brief for the four-person accounting team and the finance committee. SAP remains the system of record for the grain-settlement population; a limited, privacy-preserving BlackLine close-control layer is introduced around it.</w:t>
            </w:r>
          </w:p>
        </w:tc>
      </w:tr>
    </w:tbl>
    <w:p>
      <w:pPr>
        <w:spacing w:after="0"/>
      </w:pPr>
    </w:p>
    <w:p>
      <w:pPr>
        <w:spacing w:before="180" w:after="60"/>
      </w:pPr>
      <w:r>
        <w:rPr>
          <w:rFonts w:ascii="Aptos Display" w:hAnsi="Aptos Display"/>
          <w:b/>
          <w:color w:val="17365D"/>
          <w:sz w:val="26"/>
        </w:rPr>
        <w:t>1. Decision context and control boundary</w:t>
      </w:r>
    </w:p>
    <w:p>
      <w:pPr>
        <w:spacing w:after="60" w:line="250" w:lineRule="auto"/>
      </w:pPr>
      <w:r>
        <w:rPr>
          <w:sz w:val="18"/>
        </w:rPr>
        <w:t>Ashgrove Cooperative must close in five business days. The grain-settlement module stays on the on-premises SAP instance. Member PII must not leave that environment—by export, upload, interface, email, or evidence attachment. This is an operating boundary, not a claim about a vendor feature.</w:t>
      </w:r>
    </w:p>
    <w:p>
      <w:pPr>
        <w:spacing w:after="60" w:line="250" w:lineRule="auto"/>
      </w:pPr>
      <w:r>
        <w:rPr>
          <w:sz w:val="18"/>
        </w:rPr>
        <w:t>Mandatory controls are the minimum needed to prevent an unreviewed or untraceable close: source-to-close completeness and accuracy, independent review, controlled manual journals, PII protection, access restriction, documented exceptions, retained review evidence, and certification based on control status. Desirable enhancements improve speed or insight but do not replace those safeguards. They may be phased only after mandatory controls operate reliably.</w:t>
      </w:r>
    </w:p>
    <w:p>
      <w:pPr>
        <w:spacing w:after="60" w:line="250" w:lineRule="auto"/>
      </w:pPr>
      <w:r>
        <w:rPr>
          <w:sz w:val="18"/>
        </w:rPr>
        <w:t>BlackLine licence tiers are treated as a capacity and scope constraint. Ashgrove will configure only the workflows, users, and non-PII evidence that the purchased entitlement supports; no licence capability is assumed in this design.</w:t>
      </w:r>
    </w:p>
    <w:p>
      <w:pPr>
        <w:spacing w:before="180" w:after="60"/>
      </w:pPr>
      <w:r>
        <w:rPr>
          <w:rFonts w:ascii="Aptos Display" w:hAnsi="Aptos Display"/>
          <w:b/>
          <w:color w:val="17365D"/>
          <w:sz w:val="26"/>
        </w:rPr>
        <w:t>2. Four roles and separation of duties</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800"/>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5"/>
              </w:rPr>
              <w:t>Role</w:t>
            </w:r>
          </w:p>
        </w:tc>
        <w:tc>
          <w:tcPr>
            <w:tcW w:type="dxa" w:w="4392"/>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5"/>
              </w:rPr>
              <w:t>Primary duties</w:t>
            </w:r>
          </w:p>
        </w:tc>
        <w:tc>
          <w:tcPr>
            <w:tcW w:type="dxa" w:w="3528"/>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5"/>
              </w:rPr>
              <w:t>Cannot independently approve</w:t>
            </w:r>
          </w:p>
        </w:tc>
      </w:tr>
      <w:tr>
        <w:tc>
          <w:tcPr>
            <w:tcW w:type="dxa" w:w="1800"/>
            <w:vAlign w:val="center"/>
            <w:tcBorders>
              <w:top w:val="single" w:sz="4" w:color="D5DDE0"/>
              <w:left w:val="single" w:sz="4" w:color="D5DDE0"/>
              <w:bottom w:val="single" w:sz="4" w:color="D5DDE0"/>
              <w:right w:val="single" w:sz="4" w:color="D5DDE0"/>
            </w:tcBorders>
          </w:tcPr>
          <w:p>
            <w:pPr>
              <w:spacing w:after="0" w:line="240" w:lineRule="auto"/>
            </w:pPr>
            <w:r/>
            <w:r>
              <w:rPr>
                <w:b w:val="0"/>
                <w:sz w:val="15"/>
              </w:rPr>
              <w:t>Close Owner (Controller successor)</w:t>
            </w:r>
          </w:p>
        </w:tc>
        <w:tc>
          <w:tcPr>
            <w:tcW w:type="dxa" w:w="4392"/>
            <w:vAlign w:val="center"/>
            <w:tcBorders>
              <w:top w:val="single" w:sz="4" w:color="D5DDE0"/>
              <w:left w:val="single" w:sz="4" w:color="D5DDE0"/>
              <w:bottom w:val="single" w:sz="4" w:color="D5DDE0"/>
              <w:right w:val="single" w:sz="4" w:color="D5DDE0"/>
            </w:tcBorders>
          </w:tcPr>
          <w:p>
            <w:pPr>
              <w:spacing w:after="0" w:line="240" w:lineRule="auto"/>
            </w:pPr>
            <w:r/>
            <w:r>
              <w:rPr>
                <w:b w:val="0"/>
                <w:sz w:val="15"/>
              </w:rPr>
              <w:t>Owns calendar, assigns work, reviews exceptions, approves manual journals; may declare close complete.</w:t>
            </w:r>
          </w:p>
        </w:tc>
        <w:tc>
          <w:tcPr>
            <w:tcW w:type="dxa" w:w="3528"/>
            <w:vAlign w:val="center"/>
            <w:tcBorders>
              <w:top w:val="single" w:sz="4" w:color="D5DDE0"/>
              <w:left w:val="single" w:sz="4" w:color="D5DDE0"/>
              <w:bottom w:val="single" w:sz="4" w:color="D5DDE0"/>
              <w:right w:val="single" w:sz="4" w:color="D5DDE0"/>
            </w:tcBorders>
          </w:tcPr>
          <w:p>
            <w:pPr>
              <w:spacing w:after="0" w:line="240" w:lineRule="auto"/>
            </w:pPr>
            <w:r/>
            <w:r>
              <w:rPr>
                <w:b w:val="0"/>
                <w:sz w:val="15"/>
              </w:rPr>
              <w:t>A reconciliation or journal the Close Owner prepared.</w:t>
            </w:r>
          </w:p>
        </w:tc>
      </w:tr>
      <w:tr>
        <w:tc>
          <w:tcPr>
            <w:tcW w:type="dxa" w:w="1800"/>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5"/>
              </w:rPr>
              <w:t>Settlement Reconciliation Preparer</w:t>
            </w:r>
          </w:p>
        </w:tc>
        <w:tc>
          <w:tcPr>
            <w:tcW w:type="dxa" w:w="439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5"/>
              </w:rPr>
              <w:t>Runs on-premises SAP settlement extract; prepares source-to-close, cutoff and settlement exceptions.</w:t>
            </w:r>
          </w:p>
        </w:tc>
        <w:tc>
          <w:tcPr>
            <w:tcW w:type="dxa" w:w="3528"/>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5"/>
              </w:rPr>
              <w:t>Any settlement reconciliation prepared by this role.</w:t>
            </w:r>
          </w:p>
        </w:tc>
      </w:tr>
      <w:tr>
        <w:tc>
          <w:tcPr>
            <w:tcW w:type="dxa" w:w="1800"/>
            <w:vAlign w:val="center"/>
            <w:tcBorders>
              <w:top w:val="single" w:sz="4" w:color="D5DDE0"/>
              <w:left w:val="single" w:sz="4" w:color="D5DDE0"/>
              <w:bottom w:val="single" w:sz="4" w:color="D5DDE0"/>
              <w:right w:val="single" w:sz="4" w:color="D5DDE0"/>
            </w:tcBorders>
          </w:tcPr>
          <w:p>
            <w:pPr>
              <w:spacing w:after="0" w:line="240" w:lineRule="auto"/>
            </w:pPr>
            <w:r/>
            <w:r>
              <w:rPr>
                <w:b w:val="0"/>
                <w:sz w:val="15"/>
              </w:rPr>
              <w:t>Balance Reconciliation Preparer</w:t>
            </w:r>
          </w:p>
        </w:tc>
        <w:tc>
          <w:tcPr>
            <w:tcW w:type="dxa" w:w="4392"/>
            <w:vAlign w:val="center"/>
            <w:tcBorders>
              <w:top w:val="single" w:sz="4" w:color="D5DDE0"/>
              <w:left w:val="single" w:sz="4" w:color="D5DDE0"/>
              <w:bottom w:val="single" w:sz="4" w:color="D5DDE0"/>
              <w:right w:val="single" w:sz="4" w:color="D5DDE0"/>
            </w:tcBorders>
          </w:tcPr>
          <w:p>
            <w:pPr>
              <w:spacing w:after="0" w:line="240" w:lineRule="auto"/>
            </w:pPr>
            <w:r/>
            <w:r>
              <w:rPr>
                <w:b w:val="0"/>
                <w:sz w:val="15"/>
              </w:rPr>
              <w:t>Prepares assigned ledger/balance reconciliations and drafts supported manual adjustments.</w:t>
            </w:r>
          </w:p>
        </w:tc>
        <w:tc>
          <w:tcPr>
            <w:tcW w:type="dxa" w:w="3528"/>
            <w:vAlign w:val="center"/>
            <w:tcBorders>
              <w:top w:val="single" w:sz="4" w:color="D5DDE0"/>
              <w:left w:val="single" w:sz="4" w:color="D5DDE0"/>
              <w:bottom w:val="single" w:sz="4" w:color="D5DDE0"/>
              <w:right w:val="single" w:sz="4" w:color="D5DDE0"/>
            </w:tcBorders>
          </w:tcPr>
          <w:p>
            <w:pPr>
              <w:spacing w:after="0" w:line="240" w:lineRule="auto"/>
            </w:pPr>
            <w:r/>
            <w:r>
              <w:rPr>
                <w:b w:val="0"/>
                <w:sz w:val="15"/>
              </w:rPr>
              <w:t>Any balance reconciliation or adjustment prepared by this role.</w:t>
            </w:r>
          </w:p>
        </w:tc>
      </w:tr>
      <w:tr>
        <w:tc>
          <w:tcPr>
            <w:tcW w:type="dxa" w:w="1800"/>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5"/>
              </w:rPr>
              <w:t>Accounting Reviewer</w:t>
            </w:r>
          </w:p>
        </w:tc>
        <w:tc>
          <w:tcPr>
            <w:tcW w:type="dxa" w:w="439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5"/>
              </w:rPr>
              <w:t>Independently reviews assigned reconciliations, evidence and unusual movements; maintains the exception register.</w:t>
            </w:r>
          </w:p>
        </w:tc>
        <w:tc>
          <w:tcPr>
            <w:tcW w:type="dxa" w:w="3528"/>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5"/>
              </w:rPr>
              <w:t>An item this role prepared, or a journal this role drafted.</w:t>
            </w:r>
          </w:p>
        </w:tc>
      </w:tr>
    </w:tbl>
    <w:p>
      <w:pPr>
        <w:spacing w:after="0"/>
      </w:pPr>
    </w:p>
    <w:p>
      <w:pPr>
        <w:spacing w:after="60" w:line="250" w:lineRule="auto"/>
      </w:pPr>
      <w:r>
        <w:rPr>
          <w:sz w:val="18"/>
        </w:rPr>
        <w:t>Assignments rotate only between periods, never within the same material reconciliation: the preparer may not be its reviewer or approver. With four people, perfect separation is not always possible for access administration or absence cover. Compensating control: the Close Owner reviews the monthly role/access roster and all journal and exception-register activity; the finance committee receives the close certification and material unresolved-exception summary. A person requesting or performing an access change cannot approve that change.</w:t>
      </w:r>
    </w:p>
    <w:p>
      <w:pPr>
        <w:spacing w:before="180" w:after="60"/>
      </w:pPr>
      <w:r>
        <w:rPr>
          <w:rFonts w:ascii="Aptos Display" w:hAnsi="Aptos Display"/>
          <w:b/>
          <w:color w:val="17365D"/>
          <w:sz w:val="26"/>
        </w:rPr>
        <w:t>3. Five-business-day operating calendar</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792"/>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When</w:t>
            </w:r>
          </w:p>
        </w:tc>
        <w:tc>
          <w:tcPr>
            <w:tcW w:type="dxa" w:w="5904"/>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Work performed and owner</w:t>
            </w:r>
          </w:p>
        </w:tc>
        <w:tc>
          <w:tcPr>
            <w:tcW w:type="dxa" w:w="3024"/>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Review / decision</w:t>
            </w:r>
          </w:p>
        </w:tc>
      </w:tr>
      <w:tr>
        <w:tc>
          <w:tcPr>
            <w:tcW w:type="dxa" w:w="79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Day 1</w:t>
            </w:r>
          </w:p>
        </w:tc>
        <w:tc>
          <w:tcPr>
            <w:tcW w:type="dxa" w:w="5904"/>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Settlement Preparer freezes the period-tagged SAP control extract and compares settlement population count, unique settlement IDs, and control totals to the close feed. Balance Preparer begins assigned balances.</w:t>
            </w:r>
          </w:p>
        </w:tc>
        <w:tc>
          <w:tcPr>
            <w:tcW w:type="dxa" w:w="3024"/>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Reviewer checks extraction identifiers and initial differences.</w:t>
            </w:r>
          </w:p>
        </w:tc>
      </w:tr>
      <w:tr>
        <w:tc>
          <w:tcPr>
            <w:tcW w:type="dxa" w:w="79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Day 2</w:t>
            </w:r>
          </w:p>
        </w:tc>
        <w:tc>
          <w:tcPr>
            <w:tcW w:type="dxa" w:w="5904"/>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Preparer investigates duplicates, omissions, mapping differences and late-arriving settlements; drafts any supported adjustment.</w:t>
            </w:r>
          </w:p>
        </w:tc>
        <w:tc>
          <w:tcPr>
            <w:tcW w:type="dxa" w:w="3024"/>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Close Owner authorizes manual journals before posting; Reviewer reviews completed reconciliations.</w:t>
            </w:r>
          </w:p>
        </w:tc>
      </w:tr>
      <w:tr>
        <w:tc>
          <w:tcPr>
            <w:tcW w:type="dxa" w:w="79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Day 3</w:t>
            </w:r>
          </w:p>
        </w:tc>
        <w:tc>
          <w:tcPr>
            <w:tcW w:type="dxa" w:w="5904"/>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Preparers finish balance, cutoff and aged-item analysis; operational source corrections are referred back to SAP owner.</w:t>
            </w:r>
          </w:p>
        </w:tc>
        <w:tc>
          <w:tcPr>
            <w:tcW w:type="dxa" w:w="3024"/>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Reviewer performs unusual-movement review and updates exception status.</w:t>
            </w:r>
          </w:p>
        </w:tc>
      </w:tr>
      <w:tr>
        <w:tc>
          <w:tcPr>
            <w:tcW w:type="dxa" w:w="79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Day 4</w:t>
            </w:r>
          </w:p>
        </w:tc>
        <w:tc>
          <w:tcPr>
            <w:tcW w:type="dxa" w:w="5904"/>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Close Owner resolves or escalates open mandatory-control exceptions; prepares close-status certification package.</w:t>
            </w:r>
          </w:p>
        </w:tc>
        <w:tc>
          <w:tcPr>
            <w:tcW w:type="dxa" w:w="3024"/>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Reviewer confirms evidence package is complete and records dated review.</w:t>
            </w:r>
          </w:p>
        </w:tc>
      </w:tr>
      <w:tr>
        <w:tc>
          <w:tcPr>
            <w:tcW w:type="dxa" w:w="79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Day 5</w:t>
            </w:r>
          </w:p>
        </w:tc>
        <w:tc>
          <w:tcPr>
            <w:tcW w:type="dxa" w:w="5904"/>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Close Owner evaluates control completion and permitted exception disposition.</w:t>
            </w:r>
          </w:p>
        </w:tc>
        <w:tc>
          <w:tcPr>
            <w:tcW w:type="dxa" w:w="3024"/>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Only the Close Owner declares the close complete; committee receives status and material open items.</w:t>
            </w:r>
          </w:p>
        </w:tc>
      </w:tr>
    </w:tbl>
    <w:p>
      <w:pPr>
        <w:spacing w:after="0"/>
      </w:pPr>
    </w:p>
    <w:p>
      <w:pPr>
        <w:spacing w:before="180" w:after="60"/>
      </w:pPr>
      <w:r>
        <w:rPr>
          <w:rFonts w:ascii="Aptos Display" w:hAnsi="Aptos Display"/>
          <w:b/>
          <w:color w:val="17365D"/>
          <w:sz w:val="26"/>
        </w:rPr>
        <w:t>4. Mandatory control instructions</w:t>
      </w:r>
    </w:p>
    <w:tbl>
      <w:tblPr>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232"/>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Control / timing</w:t>
            </w:r>
          </w:p>
        </w:tc>
        <w:tc>
          <w:tcPr>
            <w:tcW w:type="dxa" w:w="2232"/>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Prepare → independent review</w:t>
            </w:r>
          </w:p>
        </w:tc>
        <w:tc>
          <w:tcPr>
            <w:tcW w:type="dxa" w:w="5256"/>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Minimum evidence and exception action</w:t>
            </w:r>
          </w:p>
        </w:tc>
      </w:tr>
      <w:tr>
        <w:tc>
          <w:tcPr>
            <w:tcW w:type="dxa" w:w="223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C1 Settlement interface — Day 1–2</w:t>
            </w:r>
          </w:p>
        </w:tc>
        <w:tc>
          <w:tcPr>
            <w:tcW w:type="dxa" w:w="223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Settlement Preparer → Accounting Reviewer</w:t>
            </w:r>
          </w:p>
        </w:tc>
        <w:tc>
          <w:tcPr>
            <w:tcW w:type="dxa" w:w="5256"/>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On premises, reconcile SAP grain-settlement source population to close records by period/run ID: record counts, control totals, unique settlement IDs and duplicate/omitted-ID report. Reviewer inspects source extract ID, comparison, preparer analysis, all exceptions and resolution. A difference is Clear only when supported; Hold when unexplained; Escalate when it affects close records or cannot be resolved by Day 4. Never mark an open item reconciled.</w:t>
            </w:r>
          </w:p>
        </w:tc>
      </w:tr>
      <w:tr>
        <w:tc>
          <w:tcPr>
            <w:tcW w:type="dxa" w:w="223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C2 Cutoff / late data — Day 1–3</w:t>
            </w:r>
          </w:p>
        </w:tc>
        <w:tc>
          <w:tcPr>
            <w:tcW w:type="dxa" w:w="223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Settlement Preparer → Accounting Reviewer</w:t>
            </w:r>
          </w:p>
        </w:tc>
        <w:tc>
          <w:tcPr>
            <w:tcW w:type="dxa" w:w="5256"/>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Log settlements arriving after the agreed period extract as late data; compare their effective period to the close boundary. Refer source defects to the SAP operational owner. A posting is an accounting adjustment only when separately supported and authorized; it must not mask a source-interface defect.</w:t>
            </w:r>
          </w:p>
        </w:tc>
      </w:tr>
      <w:tr>
        <w:tc>
          <w:tcPr>
            <w:tcW w:type="dxa" w:w="223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C3 Key balances, aging and variance — Day 1–4</w:t>
            </w:r>
          </w:p>
        </w:tc>
        <w:tc>
          <w:tcPr>
            <w:tcW w:type="dxa" w:w="223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Balance Preparer → Accounting Reviewer</w:t>
            </w:r>
          </w:p>
        </w:tc>
        <w:tc>
          <w:tcPr>
            <w:tcW w:type="dxa" w:w="5256"/>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Retain balance source, reconciliation, age/status of reconciling items, and explanation of unusual balance or movement versus available prior-period information. Owner follows each open item; Reviewer challenges stale items; Close Owner escalates unresolved material-impact items in the certification.</w:t>
            </w:r>
          </w:p>
        </w:tc>
      </w:tr>
      <w:tr>
        <w:tc>
          <w:tcPr>
            <w:tcW w:type="dxa" w:w="223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C4 Manual close journals — before posting</w:t>
            </w:r>
          </w:p>
        </w:tc>
        <w:tc>
          <w:tcPr>
            <w:tcW w:type="dxa" w:w="2232"/>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Balance Preparer or Settlement Preparer → Close Owner</w:t>
            </w:r>
          </w:p>
        </w:tc>
        <w:tc>
          <w:tcPr>
            <w:tcW w:type="dxa" w:w="5256"/>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Keep journal support, business purpose, preparer, approver, posting reference and post-posting check. The same person cannot draft and authorize; Reviewer checks the journal register for completeness.</w:t>
            </w:r>
          </w:p>
        </w:tc>
      </w:tr>
      <w:tr>
        <w:tc>
          <w:tcPr>
            <w:tcW w:type="dxa" w:w="223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C5 Evidence / access / change — each period</w:t>
            </w:r>
          </w:p>
        </w:tc>
        <w:tc>
          <w:tcPr>
            <w:tcW w:type="dxa" w:w="2232"/>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Control owner → Accounting Reviewer; access change requester → Close Owner</w:t>
            </w:r>
          </w:p>
        </w:tc>
        <w:tc>
          <w:tcPr>
            <w:tcW w:type="dxa" w:w="5256"/>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Evidence package: control ID, period, SAP extract/run or batch ID, version, preparer/date, reviewer/date/comments, exceptions/status/impact and resolution or escalation. Role-based least-privilege access restricts SAP, BlackLine and evidence folders to duties. Close Owner reviews access monthly and removes/changes access for departures or role changes. Changes to mappings, logic, templates or thresholds require owner request, independent test/review, version record and Close Owner approval before use.</w:t>
            </w:r>
          </w:p>
        </w:tc>
      </w:tr>
    </w:tbl>
    <w:p>
      <w:pPr>
        <w:spacing w:after="0"/>
      </w:pPr>
    </w:p>
    <w:p>
      <w:pPr>
        <w:spacing w:before="180" w:after="60"/>
      </w:pPr>
      <w:r>
        <w:rPr>
          <w:rFonts w:ascii="Aptos Display" w:hAnsi="Aptos Display"/>
          <w:b/>
          <w:color w:val="17365D"/>
          <w:sz w:val="26"/>
        </w:rPr>
        <w:t>5. Data flow, evidence and contingency</w:t>
      </w:r>
    </w:p>
    <w:p>
      <w:pPr>
        <w:spacing w:after="60" w:line="250" w:lineRule="auto"/>
      </w:pPr>
      <w:r>
        <w:rPr>
          <w:sz w:val="18"/>
        </w:rPr>
        <w:t>End-state data boundary: SAP remains authoritative for grain-settlement detail and all member PII. The only data allowed from SAP into BlackLine or its controlled evidence area are period/run identifiers, masked or non-identifying settlement keys, record counts, control totals, ledger/balance references, exception status and links or references to the on-premises evidence location. This minimum proves population completeness, accuracy and workflow status without copying member-level details. Identifying investigation detail stays in on-premises SAP and is referenced, not attached, outside it.</w:t>
      </w:r>
    </w:p>
    <w:p>
      <w:pPr>
        <w:spacing w:after="60" w:line="250" w:lineRule="auto"/>
      </w:pPr>
      <w:r>
        <w:rPr>
          <w:sz w:val="18"/>
        </w:rPr>
        <w:t>If the feed, interface, or system is unavailable, the Settlement Preparer obtains the controlled on-premises SAP extract, records the outage and uses the same C1 comparison in the approved reconciliation register. Do not circulate member PII by email. The Reviewer signs the manual evidence; once the interface returns, the Preparer reruns C1 and reconciles the fallback record to the restored feed. An outage does not convert an open reconciliation into a cleared one.</w:t>
      </w:r>
    </w:p>
    <w:p>
      <w:pPr>
        <w:spacing w:after="60" w:line="250" w:lineRule="auto"/>
      </w:pPr>
      <w:r>
        <w:rPr>
          <w:sz w:val="18"/>
        </w:rPr>
        <w:t>The exception register is the single list of open differences: ID, control, owner, status (Clear/Hold/Escalate), impact assessment, due point, source-correction or accounting-adjustment path, resolution evidence, and escalation. A mandatory control late or incomplete by Day 4 is Escalate; the Close Owner documents the reason and impact and either obtains documented exception disposition for committee visibility or does not declare close complete. Calendar passage alone never closes a period.</w:t>
      </w:r>
    </w:p>
    <w:p>
      <w:pPr>
        <w:spacing w:before="180" w:after="60"/>
      </w:pPr>
      <w:r>
        <w:rPr>
          <w:rFonts w:ascii="Aptos Display" w:hAnsi="Aptos Display"/>
          <w:b/>
          <w:color w:val="17365D"/>
          <w:sz w:val="26"/>
        </w:rPr>
        <w:t>6. Transition state — controlled bridge</w:t>
      </w:r>
    </w:p>
    <w:p>
      <w:pPr>
        <w:spacing w:after="60" w:line="250" w:lineRule="auto"/>
      </w:pPr>
      <w:r>
        <w:rPr>
          <w:sz w:val="18"/>
        </w:rPr>
        <w:t>Until the selected end state is operating, SAP is the authoritative operational and accounting source; the approved, access-restricted reconciliation register is the authoritative control record. Temporary spreadsheets are stored only in the controlled on-premises evidence location, carry period/version/owner, and are not email attachments. Email may notify a reviewer that work is ready, but it is not evidence or a source of truth. C1–C5, role separation, review evidence and the PII boundary apply unchanged to manual work.</w:t>
      </w:r>
    </w:p>
    <w:p>
      <w:pPr>
        <w:spacing w:after="60" w:line="250" w:lineRule="auto"/>
      </w:pPr>
      <w:r>
        <w:rPr>
          <w:sz w:val="18"/>
        </w:rPr>
        <w:t>Migrate a control only after the Close Owner documents that its end-state workflow has been configured within the purchased scope, tested against a period-tagged SAP extract, independently reviewed, and produces the required evidence package. Then mark the transition control “retired” in the register and retain its last approved package. Do not run two competing records: any temporary duplicate is cross-referenced to the authoritative record and retired by that test.</w:t>
      </w:r>
    </w:p>
    <w:p>
      <w:pPr>
        <w:spacing w:before="180" w:after="60"/>
      </w:pPr>
      <w:r>
        <w:rPr>
          <w:rFonts w:ascii="Aptos Display" w:hAnsi="Aptos Display"/>
          <w:b/>
          <w:color w:val="17365D"/>
          <w:sz w:val="26"/>
        </w:rPr>
        <w:t>7. End-state design — selected configuration</w:t>
      </w:r>
    </w:p>
    <w:p>
      <w:pPr>
        <w:spacing w:after="60" w:line="250" w:lineRule="auto"/>
      </w:pPr>
      <w:r>
        <w:rPr>
          <w:sz w:val="18"/>
        </w:rPr>
        <w:t>Use SAP on premises as the authoritative grain-settlement system and BlackLine as a limited close-control workflow and evidence layer for the four named roles. Feed it only the minimum non-PII control dataset described above; retain PII-bearing detail and source evidence in SAP/on-premises storage. The workflow tracks preparation, independent review, exceptions, deadlines and certification; it does not replace SAP, authorize uncontrolled data extraction, or remove the need for human review. This concentrates scarce licence capacity on key reconciliations and status while keeping manual investigation local, making the five-day sequence achievable without assigning one person both preparation and approval.</w:t>
      </w:r>
    </w:p>
    <w:p>
      <w:pPr>
        <w:spacing w:before="180" w:after="60"/>
      </w:pPr>
      <w:r>
        <w:rPr>
          <w:rFonts w:ascii="Aptos Display" w:hAnsi="Aptos Display"/>
          <w:b/>
          <w:color w:val="17365D"/>
          <w:sz w:val="26"/>
        </w:rPr>
        <w:t>8. Rejected alternatives and approval rationale</w:t>
      </w:r>
    </w:p>
    <w:tbl>
      <w:tblPr>
        <w:tblW w:type="auto" w:w="0"/>
        <w:jc w:val="center"/>
        <w:tblLayout w:type="fixed"/>
        <w:tblLook w:firstColumn="1" w:firstRow="1" w:lastColumn="0" w:lastRow="0" w:noHBand="0" w:noVBand="1" w:val="04A0"/>
      </w:tblPr>
      <w:tblGrid>
        <w:gridCol w:w="5328"/>
        <w:gridCol w:w="5328"/>
      </w:tblGrid>
      <w:tr>
        <w:trPr>
          <w:tblHeader w:val="true"/>
        </w:trPr>
        <w:tc>
          <w:tcPr>
            <w:tcW w:type="dxa" w:w="2880"/>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Rejected alternative</w:t>
            </w:r>
          </w:p>
        </w:tc>
        <w:tc>
          <w:tcPr>
            <w:tcW w:type="dxa" w:w="6840"/>
            <w:vAlign w:val="center"/>
            <w:tcBorders>
              <w:top w:val="single" w:sz="4" w:color="D5DDE0"/>
              <w:left w:val="single" w:sz="4" w:color="D5DDE0"/>
              <w:bottom w:val="single" w:sz="4" w:color="D5DDE0"/>
              <w:right w:val="single" w:sz="4" w:color="D5DDE0"/>
            </w:tcBorders>
            <w:shd w:fill="17365D"/>
          </w:tcPr>
          <w:p>
            <w:pPr>
              <w:spacing w:after="0" w:line="240" w:lineRule="auto"/>
            </w:pPr>
            <w:r/>
            <w:r>
              <w:rPr>
                <w:b/>
                <w:color w:val="FFFFFF"/>
                <w:sz w:val="14"/>
              </w:rPr>
              <w:t>Why it fails Ashgrove’s stated constraints</w:t>
            </w:r>
          </w:p>
        </w:tc>
      </w:tr>
      <w:tr>
        <w:tc>
          <w:tcPr>
            <w:tcW w:type="dxa" w:w="2880"/>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Quarryfield Collective’s cheaper, simpler proposal</w:t>
            </w:r>
          </w:p>
        </w:tc>
        <w:tc>
          <w:tcPr>
            <w:tcW w:type="dxa" w:w="6840"/>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Leaving more preparation and review with one person creates self-review risk, weakens review evidence and overloads the five-day close. Spreadsheet/email circulation also makes authoritative status and the PII boundary hard to defend.</w:t>
            </w:r>
          </w:p>
        </w:tc>
      </w:tr>
      <w:tr>
        <w:tc>
          <w:tcPr>
            <w:tcW w:type="dxa" w:w="2880"/>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Broad cloud automation / SAP replacement approach</w:t>
            </w:r>
          </w:p>
        </w:tc>
        <w:tc>
          <w:tcPr>
            <w:tcW w:type="dxa" w:w="6840"/>
            <w:vAlign w:val="center"/>
            <w:tcBorders>
              <w:top w:val="single" w:sz="4" w:color="D5DDE0"/>
              <w:left w:val="single" w:sz="4" w:color="D5DDE0"/>
              <w:bottom w:val="single" w:sz="4" w:color="D5DDE0"/>
              <w:right w:val="single" w:sz="4" w:color="D5DDE0"/>
            </w:tcBorders>
            <w:shd w:fill="F2F4F5"/>
          </w:tcPr>
          <w:p>
            <w:pPr>
              <w:spacing w:after="0" w:line="240" w:lineRule="auto"/>
            </w:pPr>
            <w:r/>
            <w:r>
              <w:rPr>
                <w:b w:val="0"/>
                <w:sz w:val="14"/>
              </w:rPr>
              <w:t>SAP must remain in place, and member PII cannot leave the on-premises environment. A broad transfer of settlement detail would exceed the minimum control dataset and assumes facts not established.</w:t>
            </w:r>
          </w:p>
        </w:tc>
      </w:tr>
      <w:tr>
        <w:tc>
          <w:tcPr>
            <w:tcW w:type="dxa" w:w="2880"/>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Fully manual long-term close</w:t>
            </w:r>
          </w:p>
        </w:tc>
        <w:tc>
          <w:tcPr>
            <w:tcW w:type="dxa" w:w="6840"/>
            <w:vAlign w:val="center"/>
            <w:tcBorders>
              <w:top w:val="single" w:sz="4" w:color="D5DDE0"/>
              <w:left w:val="single" w:sz="4" w:color="D5DDE0"/>
              <w:bottom w:val="single" w:sz="4" w:color="D5DDE0"/>
              <w:right w:val="single" w:sz="4" w:color="D5DDE0"/>
            </w:tcBorders>
          </w:tcPr>
          <w:p>
            <w:pPr>
              <w:spacing w:after="0" w:line="240" w:lineRule="auto"/>
            </w:pPr>
            <w:r/>
            <w:r>
              <w:rPr>
                <w:b w:val="0"/>
                <w:sz w:val="14"/>
              </w:rPr>
              <w:t>Manual evidence can be controlled during transition, but a permanent email-and-spreadsheet process leaves version, exception, review and workload discipline too dependent on individuals for a four-person five-day close.</w:t>
            </w:r>
          </w:p>
        </w:tc>
      </w:tr>
    </w:tbl>
    <w:p>
      <w:pPr>
        <w:spacing w:after="0"/>
      </w:pPr>
    </w:p>
    <w:p>
      <w:pPr>
        <w:spacing w:after="60" w:line="250" w:lineRule="auto"/>
      </w:pPr>
      <w:r>
        <w:rPr>
          <w:sz w:val="18"/>
        </w:rPr>
        <w:t>The selected design deliberately trades broad automation for a narrow, reviewable control layer: it preserves SAP and privacy, limits licence consumption to high-value workflow, retains independent review, and keeps manual investigation where PII resides. Desirable later enhancements—additional automation, analytics, wider workflow coverage, and richer dashboards—may proceed only if they preserve C1–C5 and do not consume capacity needed for the mandatory close.</w:t>
      </w:r>
    </w:p>
    <w:p>
      <w:pPr>
        <w:spacing w:before="180" w:after="60"/>
      </w:pPr>
      <w:r>
        <w:rPr>
          <w:rFonts w:ascii="Aptos Display" w:hAnsi="Aptos Display"/>
          <w:b/>
          <w:color w:val="17365D"/>
          <w:sz w:val="26"/>
        </w:rPr>
        <w:t>9. Single configuration decision</w:t>
      </w:r>
    </w:p>
    <w:p>
      <w:pPr>
        <w:spacing w:after="60" w:line="250" w:lineRule="auto"/>
      </w:pPr>
      <w:r>
        <w:rPr>
          <w:sz w:val="18"/>
        </w:rPr>
        <w:t>Approve the end-state configuration: on-premises SAP remains the authoritative grain-settlement and PII environment; BlackLine is a limited, role-based non-PII close-control workflow and evidence layer, operated by the four roles above with C1–C5 mandatory and the Close Owner as the sole close certifier.</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Internal finance-control design • Owner: Accounting-Control Lead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7F86"/>
        <w:sz w:val="15"/>
      </w:rPr>
      <w:t>ASHGROVE COOPERATIVE  |  CONTROL BRIEFING  |  SEPTEMBER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sz w:val="15"/>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sz w:val="15"/>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