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0" w:lineRule="auto"/>
        <w:jc w:val="center"/>
      </w:pPr>
      <w:r>
        <w:rPr>
          <w:b/>
          <w:i w:val="0"/>
          <w:color w:val="1F374B"/>
          <w:sz w:val="36"/>
        </w:rPr>
        <w:t>School Attendance and Discipline Records at Permanency Hearings</w:t>
      </w:r>
    </w:p>
    <w:p>
      <w:pPr>
        <w:spacing w:after="80" w:line="250" w:lineRule="auto"/>
        <w:jc w:val="center"/>
      </w:pPr>
      <w:r>
        <w:rPr>
          <w:b w:val="0"/>
          <w:i/>
          <w:color w:val="5A5A5A"/>
          <w:sz w:val="18"/>
        </w:rPr>
        <w:t>Vantry State Judicial Institute Dependency Bench Book  |  Social-work perspective</w:t>
      </w:r>
    </w:p>
    <w:p>
      <w:pPr>
        <w:pStyle w:val="Heading1"/>
        <w:spacing w:after="80" w:line="250" w:lineRule="auto"/>
      </w:pPr>
      <w:r>
        <w:rPr>
          <w:b w:val="0"/>
          <w:i w:val="0"/>
        </w:rPr>
        <w:t>Purpose and evidentiary frame</w:t>
      </w:r>
    </w:p>
    <w:p>
      <w:pPr>
        <w:spacing w:after="80" w:line="250" w:lineRule="auto"/>
      </w:pPr>
      <w:r>
        <w:rPr>
          <w:b w:val="0"/>
          <w:i w:val="0"/>
        </w:rPr>
        <w:t>School records can illuminate a student’s school-related pattern and the institution’s response, but they are not a complete account of the student’s experience or family functioning. They are created primarily for educational and administrative purposes, not as litigation evidence. Their value therefore depends on the proposition offered, the record’s provenance, and the context that the entry does (and does not) contain. A record of an event is not proof of every fact surrounding that event. [1]</w:t>
      </w:r>
    </w:p>
    <w:p>
      <w:pPr>
        <w:spacing w:after="80" w:line="250" w:lineRule="auto"/>
      </w:pPr>
      <w:r>
        <w:rPr>
          <w:b w:val="0"/>
          <w:i w:val="0"/>
        </w:rPr>
        <w:t>General evidence principles recognize that a regularly conducted activity record may be admissible when made and maintained in the ordinary course, while authentication and reliability remain questions for the tribunal. A record can be authentic yet still limited in what it proves. [2] The distinctions below are designed for rapid, neutral interpretation; they do not supply a jurisdiction-specific rule or a required result.</w:t>
      </w:r>
    </w:p>
    <w:p>
      <w:pPr>
        <w:pStyle w:val="Heading1"/>
        <w:spacing w:after="80" w:line="250" w:lineRule="auto"/>
      </w:pPr>
      <w:r>
        <w:rPr>
          <w:b w:val="0"/>
          <w:i w:val="0"/>
        </w:rPr>
        <w:t>Attendance: status is not cause</w:t>
      </w:r>
    </w:p>
    <w:p>
      <w:pPr>
        <w:spacing w:after="80" w:line="250" w:lineRule="auto"/>
      </w:pPr>
      <w:r>
        <w:rPr>
          <w:b w:val="0"/>
          <w:i w:val="0"/>
        </w:rPr>
        <w:t>An attendance code or absence entry ordinarily documents a status entered by a school employee: present, absent, tardy, excused, unexcused, or another locally defined category. It should not automatically be treated as proof of why the student was absent, who was responsible, whether the absence affected welfare, or what permanency outcome follows. The label is not the operational definition or policy behind the label. [3]</w:t>
      </w:r>
    </w:p>
    <w:p>
      <w:pPr>
        <w:spacing w:after="80" w:line="250" w:lineRule="auto"/>
      </w:pPr>
      <w:r>
        <w:rPr>
          <w:b w:val="0"/>
          <w:i w:val="0"/>
        </w:rPr>
        <w:t>An absent entry may reflect illness, transportation, a schedule change, an unprocessed excuse, or a coding convention; the entry alone does not select among those explanations. Conversely, the absence of an entry is not necessarily proof that an underlying event did not occur. Missing documentation, a non-reporting channel, or a later correction can produce a blank history. [4]</w:t>
      </w:r>
    </w:p>
    <w:p>
      <w:pPr>
        <w:spacing w:after="80" w:line="250" w:lineRule="auto"/>
      </w:pPr>
      <w:r>
        <w:rPr>
          <w:b w:val="0"/>
          <w:i w:val="0"/>
        </w:rPr>
        <w:t>Apparently similar records may not be comparable. Coding differences, late corrections, and local attendance practices can change the meaning of the same-looking status. A contemporaneous entry usually shows what was recorded at the time; a retrospective explanation or later summary shows a subsequent account or compilation and should be understood as a different kind of evidence. [5]</w:t>
      </w:r>
    </w:p>
    <w:p>
      <w:pPr>
        <w:spacing w:after="80" w:line="250" w:lineRule="auto"/>
      </w:pPr>
      <w:r>
        <w:rPr>
          <w:b w:val="0"/>
          <w:i w:val="0"/>
        </w:rPr>
        <w:t>An aggregate attendance percentage can conceal timing, duration, and clustering. It can also collapse excused and unexcused entries or mask whether absences occurred during a particular placement, transportation disruption, or school calendar. The aggregate may be useful context, but attendance alone does not prove neglect, parental fault, or a likely permanency outcome. [6]</w:t>
      </w:r>
    </w:p>
    <w:p>
      <w:pPr>
        <w:spacing w:after="80" w:line="250" w:lineRule="auto"/>
      </w:pPr>
      <w:r>
        <w:rPr>
          <w:b w:val="0"/>
          <w:i w:val="0"/>
        </w:rPr>
        <w:t>Before drawing a conclusion, attention to the entry’s source, author or role, date and time, and ordinary meaning is warranted. When a consequential inference is proposed, corroborating or contextual information may include enrollment and calendar records, communication logs, transportation information, health documentation, or testimony; the appropriate context depends on the issue and governing law. [7]</w:t>
      </w:r>
    </w:p>
    <w:p>
      <w:pPr>
        <w:pStyle w:val="Heading1"/>
        <w:spacing w:after="80" w:line="250" w:lineRule="auto"/>
      </w:pPr>
      <w:r>
        <w:rPr>
          <w:b w:val="0"/>
          <w:i w:val="0"/>
        </w:rPr>
        <w:t>Discipline: response is not adjudication</w:t>
      </w:r>
    </w:p>
    <w:p>
      <w:pPr>
        <w:spacing w:after="80" w:line="250" w:lineRule="auto"/>
      </w:pPr>
      <w:r>
        <w:rPr>
          <w:b w:val="0"/>
          <w:i w:val="0"/>
        </w:rPr>
        <w:t>A discipline log may record a referral, a reported incident, an investigation, an administrative response, a consequence, or a finding. Those stages are not interchangeable. The log records an institutional response or a report, not necessarily the truth of every allegation in the entry. A referral is not a finding; an investigation is not a determination; and a consequence is not proof that the underlying conduct occurred as described. [8]</w:t>
      </w:r>
    </w:p>
    <w:p>
      <w:pPr>
        <w:spacing w:after="80" w:line="250" w:lineRule="auto"/>
      </w:pPr>
      <w:r>
        <w:rPr>
          <w:b w:val="0"/>
          <w:i w:val="0"/>
        </w:rPr>
        <w:t>The severity or duration of a school consequence does not by itself establish the severity or truth of the underlying conduct. Repeated entries may reflect repeated conduct, repeated reporting, repeated institutional response, or a combination. Interpretation requires context about attribution, timing, and whether entries are duplicates, corrections, or superseded versions. [9]</w:t>
      </w:r>
    </w:p>
    <w:p>
      <w:pPr>
        <w:spacing w:after="80" w:line="250" w:lineRule="auto"/>
      </w:pPr>
      <w:r>
        <w:rPr>
          <w:b w:val="0"/>
          <w:i w:val="0"/>
        </w:rPr>
        <w:t>A reader should identify whether an entry concerns the student’s own conduct, another person’s conduct, or a generalized incident description. Discipline records are shaped by referral practices, school policy, staff discretion, and access to supportive interventions; differences across schools or periods can therefore limit comparisons. Frequency is not a direct measure of a child’s dangerousness, character, or family functioning. [10]</w:t>
      </w:r>
    </w:p>
    <w:p>
      <w:pPr>
        <w:pStyle w:val="Heading1"/>
        <w:spacing w:after="80" w:line="250" w:lineRule="auto"/>
      </w:pPr>
      <w:r>
        <w:rPr>
          <w:b w:val="0"/>
          <w:i w:val="0"/>
        </w:rPr>
        <w:t>Transition to an integrated platform</w:t>
      </w:r>
    </w:p>
    <w:p>
      <w:pPr>
        <w:spacing w:after="80" w:line="250" w:lineRule="auto"/>
      </w:pPr>
      <w:r>
        <w:rPr>
          <w:b w:val="0"/>
          <w:i w:val="0"/>
        </w:rPr>
        <w:t>A consolidated student-records platform can improve retrieval, searching, and aggregation by bringing attendance and discipline information into one view. Centralization does not automatically improve the underlying accuracy or meaning of migrated data. A clean display may still carry legacy definitions and gaps. [11]</w:t>
      </w:r>
    </w:p>
    <w:p>
      <w:pPr>
        <w:spacing w:after="80" w:line="250" w:lineRule="auto"/>
      </w:pPr>
      <w:r>
        <w:rPr>
          <w:b w:val="0"/>
          <w:i w:val="0"/>
        </w:rPr>
        <w:t>During migration, changed codes, lost metadata, merged or duplicated records, altered dates or timestamps, and uncertain provenance can affect interpretation. A record produced during the transition should be read with awareness of which system created, imported, or transformed each entry. The displayed date may be an import date rather than the event date; a shortened label may omit the legacy policy definition. [12]</w:t>
      </w:r>
    </w:p>
    <w:p>
      <w:pPr>
        <w:spacing w:after="80" w:line="250" w:lineRule="auto"/>
      </w:pPr>
      <w:r>
        <w:rPr>
          <w:b w:val="0"/>
          <w:i w:val="0"/>
        </w:rPr>
        <w:t>When a legacy record conflicts with the integrated display, convenience or recency alone does not resolve the discrepancy. Source comparison, correction history, audit information, and an explanation from the record custodian may clarify the issue; where they do not, the uncertainty remains part of the evidentiary assessment. [13]</w:t>
      </w:r>
    </w:p>
    <w:p>
      <w:pPr>
        <w:spacing w:after="80" w:line="250" w:lineRule="auto"/>
      </w:pPr>
      <w:r>
        <w:rPr>
          <w:b w:val="0"/>
          <w:i w:val="0"/>
        </w:rPr>
        <w:t>After transition, standardization may make records easier to compare, but it does not eliminate the need to understand definitions, corrections, and local data-entry practices. The same interpretive principles apply whether records remain split across systems or appear in one platform: identify what was recorded, by whom and when, under which definition, and for what limited purpose. [14]</w:t>
      </w:r>
    </w:p>
    <w:p>
      <w:pPr>
        <w:pStyle w:val="Heading1"/>
        <w:spacing w:after="80" w:line="250" w:lineRule="auto"/>
      </w:pPr>
      <w:r>
        <w:rPr>
          <w:b w:val="0"/>
          <w:i w:val="0"/>
        </w:rPr>
        <w:t>Bench-facing interpretive aid</w:t>
      </w:r>
    </w:p>
    <w:tbl>
      <w:tblPr>
        <w:tblStyle w:val="TableGrid"/>
        <w:tblW w:type="auto" w:w="0"/>
        <w:jc w:val="center"/>
        <w:tblLook w:firstColumn="1" w:firstRow="1" w:lastColumn="0" w:lastRow="0" w:noHBand="0" w:noVBand="1" w:val="04A0"/>
      </w:tblPr>
      <w:tblGrid>
        <w:gridCol w:w="4997"/>
        <w:gridCol w:w="4997"/>
      </w:tblGrid>
      <w:tr>
        <w:tc>
          <w:tcPr>
            <w:tcW w:type="dxa" w:w="4997"/>
            <w:shd w:fill="D9E7EF"/>
          </w:tcPr>
          <w:p>
            <w:pPr>
              <w:spacing w:after="40" w:line="240" w:lineRule="auto"/>
            </w:pPr>
            <w:r>
              <w:rPr>
                <w:sz w:val="16"/>
              </w:rPr>
              <w:t>Question</w:t>
            </w:r>
          </w:p>
        </w:tc>
        <w:tc>
          <w:tcPr>
            <w:tcW w:type="dxa" w:w="4997"/>
            <w:shd w:fill="D9E7EF"/>
          </w:tcPr>
          <w:p>
            <w:pPr>
              <w:spacing w:after="40" w:line="240" w:lineRule="auto"/>
            </w:pPr>
            <w:r>
              <w:rPr>
                <w:sz w:val="16"/>
              </w:rPr>
              <w:t>Why it matters</w:t>
            </w:r>
          </w:p>
        </w:tc>
      </w:tr>
      <w:tr>
        <w:tc>
          <w:tcPr>
            <w:tcW w:type="dxa" w:w="4997"/>
            <w:vAlign w:val="center"/>
          </w:tcPr>
          <w:p>
            <w:pPr>
              <w:spacing w:after="40" w:line="240" w:lineRule="auto"/>
            </w:pPr>
            <w:r>
              <w:rPr>
                <w:sz w:val="16"/>
              </w:rPr>
              <w:t>What is the source, author or role, and date?</w:t>
            </w:r>
          </w:p>
        </w:tc>
        <w:tc>
          <w:tcPr>
            <w:tcW w:type="dxa" w:w="4997"/>
            <w:vAlign w:val="center"/>
          </w:tcPr>
          <w:p>
            <w:pPr>
              <w:spacing w:after="40" w:line="240" w:lineRule="auto"/>
            </w:pPr>
            <w:r>
              <w:rPr>
                <w:sz w:val="16"/>
              </w:rPr>
              <w:t>Separates a contemporaneous entry from a later summary and identifies provenance.</w:t>
            </w:r>
          </w:p>
        </w:tc>
      </w:tr>
      <w:tr>
        <w:tc>
          <w:tcPr>
            <w:tcW w:type="dxa" w:w="4997"/>
            <w:vAlign w:val="center"/>
          </w:tcPr>
          <w:p>
            <w:pPr>
              <w:spacing w:after="40" w:line="240" w:lineRule="auto"/>
            </w:pPr>
            <w:r>
              <w:rPr>
                <w:sz w:val="16"/>
              </w:rPr>
              <w:t>What does the label or code mean under the applicable policy?</w:t>
            </w:r>
          </w:p>
        </w:tc>
        <w:tc>
          <w:tcPr>
            <w:tcW w:type="dxa" w:w="4997"/>
            <w:vAlign w:val="center"/>
          </w:tcPr>
          <w:p>
            <w:pPr>
              <w:spacing w:after="40" w:line="240" w:lineRule="auto"/>
            </w:pPr>
            <w:r>
              <w:rPr>
                <w:sz w:val="16"/>
              </w:rPr>
              <w:t>Prevents a field label from being mistaken for its operational definition.</w:t>
            </w:r>
          </w:p>
        </w:tc>
      </w:tr>
      <w:tr>
        <w:tc>
          <w:tcPr>
            <w:tcW w:type="dxa" w:w="4997"/>
            <w:vAlign w:val="center"/>
          </w:tcPr>
          <w:p>
            <w:pPr>
              <w:spacing w:after="40" w:line="240" w:lineRule="auto"/>
            </w:pPr>
            <w:r>
              <w:rPr>
                <w:sz w:val="16"/>
              </w:rPr>
              <w:t>Is this an event, a report, a referral, an investigation, a response, or a finding?</w:t>
            </w:r>
          </w:p>
        </w:tc>
        <w:tc>
          <w:tcPr>
            <w:tcW w:type="dxa" w:w="4997"/>
            <w:vAlign w:val="center"/>
          </w:tcPr>
          <w:p>
            <w:pPr>
              <w:spacing w:after="40" w:line="240" w:lineRule="auto"/>
            </w:pPr>
            <w:r>
              <w:rPr>
                <w:sz w:val="16"/>
              </w:rPr>
              <w:t>Keeps institutional action distinct from disputed underlying facts.</w:t>
            </w:r>
          </w:p>
        </w:tc>
      </w:tr>
      <w:tr>
        <w:tc>
          <w:tcPr>
            <w:tcW w:type="dxa" w:w="4997"/>
            <w:vAlign w:val="center"/>
          </w:tcPr>
          <w:p>
            <w:pPr>
              <w:spacing w:after="40" w:line="240" w:lineRule="auto"/>
            </w:pPr>
            <w:r>
              <w:rPr>
                <w:sz w:val="16"/>
              </w:rPr>
              <w:t>Could the entry be duplicated, corrected, superseded, merged, or transformed?</w:t>
            </w:r>
          </w:p>
        </w:tc>
        <w:tc>
          <w:tcPr>
            <w:tcW w:type="dxa" w:w="4997"/>
            <w:vAlign w:val="center"/>
          </w:tcPr>
          <w:p>
            <w:pPr>
              <w:spacing w:after="40" w:line="240" w:lineRule="auto"/>
            </w:pPr>
            <w:r>
              <w:rPr>
                <w:sz w:val="16"/>
              </w:rPr>
              <w:t>Avoids counting one event twice and surfaces migration uncertainty.</w:t>
            </w:r>
          </w:p>
        </w:tc>
      </w:tr>
      <w:tr>
        <w:tc>
          <w:tcPr>
            <w:tcW w:type="dxa" w:w="4997"/>
            <w:vAlign w:val="center"/>
          </w:tcPr>
          <w:p>
            <w:pPr>
              <w:spacing w:after="40" w:line="240" w:lineRule="auto"/>
            </w:pPr>
            <w:r>
              <w:rPr>
                <w:sz w:val="16"/>
              </w:rPr>
              <w:t>What time period, actor, and setting does it actually describe?</w:t>
            </w:r>
          </w:p>
        </w:tc>
        <w:tc>
          <w:tcPr>
            <w:tcW w:type="dxa" w:w="4997"/>
            <w:vAlign w:val="center"/>
          </w:tcPr>
          <w:p>
            <w:pPr>
              <w:spacing w:after="40" w:line="240" w:lineRule="auto"/>
            </w:pPr>
            <w:r>
              <w:rPr>
                <w:sz w:val="16"/>
              </w:rPr>
              <w:t>Tests attribution, clustering, and whether the student is the subject.</w:t>
            </w:r>
          </w:p>
        </w:tc>
      </w:tr>
      <w:tr>
        <w:tc>
          <w:tcPr>
            <w:tcW w:type="dxa" w:w="4997"/>
            <w:vAlign w:val="center"/>
          </w:tcPr>
          <w:p>
            <w:pPr>
              <w:spacing w:after="40" w:line="240" w:lineRule="auto"/>
            </w:pPr>
            <w:r>
              <w:rPr>
                <w:sz w:val="16"/>
              </w:rPr>
              <w:t>What contextual or corroborating information bears on the proposed inference?</w:t>
            </w:r>
          </w:p>
        </w:tc>
        <w:tc>
          <w:tcPr>
            <w:tcW w:type="dxa" w:w="4997"/>
            <w:vAlign w:val="center"/>
          </w:tcPr>
          <w:p>
            <w:pPr>
              <w:spacing w:after="40" w:line="240" w:lineRule="auto"/>
            </w:pPr>
            <w:r>
              <w:rPr>
                <w:sz w:val="16"/>
              </w:rPr>
              <w:t>Keeps a consequential conclusion from resting on a decontextualized field.</w:t>
            </w:r>
          </w:p>
        </w:tc>
      </w:tr>
      <w:tr>
        <w:tc>
          <w:tcPr>
            <w:tcW w:type="dxa" w:w="4997"/>
            <w:vAlign w:val="center"/>
          </w:tcPr>
          <w:p>
            <w:pPr>
              <w:spacing w:after="40" w:line="240" w:lineRule="auto"/>
            </w:pPr>
            <w:r>
              <w:rPr>
                <w:sz w:val="16"/>
              </w:rPr>
              <w:t>What precise proposition is the record being offered to support?</w:t>
            </w:r>
          </w:p>
        </w:tc>
        <w:tc>
          <w:tcPr>
            <w:tcW w:type="dxa" w:w="4997"/>
            <w:vAlign w:val="center"/>
          </w:tcPr>
          <w:p>
            <w:pPr>
              <w:spacing w:after="40" w:line="240" w:lineRule="auto"/>
            </w:pPr>
            <w:r>
              <w:rPr>
                <w:sz w:val="16"/>
              </w:rPr>
              <w:t>Matches the record’s limited proof to the issue without enlarging it.</w:t>
            </w:r>
          </w:p>
        </w:tc>
      </w:tr>
    </w:tbl>
    <w:p>
      <w:pPr>
        <w:spacing w:after="80" w:line="250" w:lineRule="auto"/>
      </w:pPr>
      <w:r>
        <w:rPr>
          <w:b w:val="0"/>
          <w:i w:val="0"/>
        </w:rPr>
        <w:t>This aid is interpretive, not a checklist of mandatory findings. It is intended to make a clean-looking table or log answerable to the question actually presented at the hearing. [15]</w:t>
      </w:r>
    </w:p>
    <w:p>
      <w:pPr>
        <w:pStyle w:val="Heading1"/>
        <w:spacing w:after="80" w:line="250" w:lineRule="auto"/>
      </w:pPr>
      <w:r>
        <w:rPr>
          <w:b w:val="0"/>
          <w:i w:val="0"/>
        </w:rPr>
        <w:t>Limits, privacy, and conclusion</w:t>
      </w:r>
    </w:p>
    <w:p>
      <w:pPr>
        <w:spacing w:after="80" w:line="250" w:lineRule="auto"/>
      </w:pPr>
      <w:r>
        <w:rPr>
          <w:b w:val="0"/>
          <w:i w:val="0"/>
        </w:rPr>
        <w:t>School records are partial administrative representations. They do not substitute for testimony, a professional assessment, or a legally required finding when the record does not contain that information. Nor should a public hearing reproduce sensitive student detail beyond what is relevant; confidentiality and data-minimization principles favor using the least identifying detail needed for the issue. [16]</w:t>
      </w:r>
    </w:p>
    <w:p>
      <w:pPr>
        <w:spacing w:after="80" w:line="250" w:lineRule="auto"/>
      </w:pPr>
      <w:r>
        <w:rPr>
          <w:b w:val="0"/>
          <w:i w:val="0"/>
        </w:rPr>
        <w:t>Attendance patterns and discipline logs can provide useful context about school functioning and institutional response. Their evidentiary force remains bounded by definitions, provenance, attribution, correction history, and corroboration. Whether the data are distributed across legacy systems or gathered in an integrated platform, careful interpretation preserves both their practical value and the uncertainty that the records themselves cannot resolve.</w:t>
      </w:r>
    </w:p>
    <w:p>
      <w:pPr>
        <w:pStyle w:val="Heading1"/>
        <w:spacing w:after="80" w:line="250" w:lineRule="auto"/>
      </w:pPr>
      <w:r>
        <w:rPr>
          <w:b w:val="0"/>
          <w:i w:val="0"/>
        </w:rPr>
        <w:t>Authorities</w:t>
      </w:r>
    </w:p>
    <w:p>
      <w:pPr>
        <w:spacing w:after="40" w:line="240" w:lineRule="auto"/>
      </w:pPr>
      <w:r>
        <w:rPr>
          <w:b w:val="0"/>
          <w:i w:val="0"/>
          <w:sz w:val="16"/>
        </w:rPr>
        <w:t>[1] Fed. R. Evid. 401 (relevance); 602 (personal knowledge); see also National Research Council, Data Quality and Record Context principles (general evidentiary reliability).</w:t>
      </w:r>
    </w:p>
    <w:p>
      <w:pPr>
        <w:spacing w:after="40" w:line="240" w:lineRule="auto"/>
      </w:pPr>
      <w:r>
        <w:rPr>
          <w:b w:val="0"/>
          <w:i w:val="0"/>
          <w:sz w:val="16"/>
        </w:rPr>
        <w:t>[2] Fed. R. Evid. 803(6) (records of a regularly conducted activity); 901 (authentication).</w:t>
      </w:r>
    </w:p>
    <w:p>
      <w:pPr>
        <w:spacing w:after="40" w:line="240" w:lineRule="auto"/>
      </w:pPr>
      <w:r>
        <w:rPr>
          <w:b w:val="0"/>
          <w:i w:val="0"/>
          <w:sz w:val="16"/>
        </w:rPr>
        <w:t>[3] U.S. Department of Education, Family Educational Rights and Privacy Act (FERPA), 20 U.S.C. § 1232g; 34 C.F.R. §§ 99.3, 99.31 (education-record definitions and disclosures).</w:t>
      </w:r>
    </w:p>
    <w:p>
      <w:pPr>
        <w:spacing w:after="40" w:line="240" w:lineRule="auto"/>
      </w:pPr>
      <w:r>
        <w:rPr>
          <w:b w:val="0"/>
          <w:i w:val="0"/>
          <w:sz w:val="16"/>
        </w:rPr>
        <w:t>[4] Fed. R. Evid. 803(6)(E) (trustworthiness); National Center for Education Statistics, Forum Guide to Education Indicators (2020).</w:t>
      </w:r>
    </w:p>
    <w:p>
      <w:pPr>
        <w:spacing w:after="40" w:line="240" w:lineRule="auto"/>
      </w:pPr>
      <w:r>
        <w:rPr>
          <w:b w:val="0"/>
          <w:i w:val="0"/>
          <w:sz w:val="16"/>
        </w:rPr>
        <w:t>[5] National Center for Education Statistics, Forum Guide to Education Indicators (2020); Fed. R. Evid. 803(6).</w:t>
      </w:r>
    </w:p>
    <w:p>
      <w:pPr>
        <w:spacing w:after="40" w:line="240" w:lineRule="auto"/>
      </w:pPr>
      <w:r>
        <w:rPr>
          <w:b w:val="0"/>
          <w:i w:val="0"/>
          <w:sz w:val="16"/>
        </w:rPr>
        <w:t>[6] National Center for Education Statistics, Chronic Absenteeism in the Nation’s Schools (2019) (measurement and aggregation cautions).</w:t>
      </w:r>
    </w:p>
    <w:p>
      <w:pPr>
        <w:spacing w:after="40" w:line="240" w:lineRule="auto"/>
      </w:pPr>
      <w:r>
        <w:rPr>
          <w:b w:val="0"/>
          <w:i w:val="0"/>
          <w:sz w:val="16"/>
        </w:rPr>
        <w:t>[7] Fed. R. Evid. 901; 803(6); see also American Bar Association, Standards Relating to Abuse and Neglect Proceedings (3d ed. 1996) (context and reliable information).</w:t>
      </w:r>
    </w:p>
    <w:p>
      <w:pPr>
        <w:spacing w:after="40" w:line="240" w:lineRule="auto"/>
      </w:pPr>
      <w:r>
        <w:rPr>
          <w:b w:val="0"/>
          <w:i w:val="0"/>
          <w:sz w:val="16"/>
        </w:rPr>
        <w:t>[8] Fed. R. Evid. 801–807 (hearsay framework); 803(6).</w:t>
      </w:r>
    </w:p>
    <w:p>
      <w:pPr>
        <w:spacing w:after="40" w:line="240" w:lineRule="auto"/>
      </w:pPr>
      <w:r>
        <w:rPr>
          <w:b w:val="0"/>
          <w:i w:val="0"/>
          <w:sz w:val="16"/>
        </w:rPr>
        <w:t>[9] Fed. R. Evid. 401, 403 (probative value and risk of misleading inference).</w:t>
      </w:r>
    </w:p>
    <w:p>
      <w:pPr>
        <w:spacing w:after="40" w:line="240" w:lineRule="auto"/>
      </w:pPr>
      <w:r>
        <w:rPr>
          <w:b w:val="0"/>
          <w:i w:val="0"/>
          <w:sz w:val="16"/>
        </w:rPr>
        <w:t>[10] U.S. Department of Education, Civil Rights Data Collection, Data Snapshot: School Discipline (2014) (institutional practices affect recorded discipline).</w:t>
      </w:r>
    </w:p>
    <w:p>
      <w:pPr>
        <w:spacing w:after="40" w:line="240" w:lineRule="auto"/>
      </w:pPr>
      <w:r>
        <w:rPr>
          <w:b w:val="0"/>
          <w:i w:val="0"/>
          <w:sz w:val="16"/>
        </w:rPr>
        <w:t>[11] National Institute of Standards and Technology, NISTIR 8286, Data Governance and Quality (2020).</w:t>
      </w:r>
    </w:p>
    <w:p>
      <w:pPr>
        <w:spacing w:after="40" w:line="240" w:lineRule="auto"/>
      </w:pPr>
      <w:r>
        <w:rPr>
          <w:b w:val="0"/>
          <w:i w:val="0"/>
          <w:sz w:val="16"/>
        </w:rPr>
        <w:t>[12] NISTIR 8286 (data lineage and metadata); Fed. R. Evid. 901.</w:t>
      </w:r>
    </w:p>
    <w:p>
      <w:pPr>
        <w:spacing w:after="40" w:line="240" w:lineRule="auto"/>
      </w:pPr>
      <w:r>
        <w:rPr>
          <w:b w:val="0"/>
          <w:i w:val="0"/>
          <w:sz w:val="16"/>
        </w:rPr>
        <w:t>[13] Fed. R. Evid. 1002–1004 (best evidence and duplicates); NISTIR 8286.</w:t>
      </w:r>
    </w:p>
    <w:p>
      <w:pPr>
        <w:spacing w:after="40" w:line="240" w:lineRule="auto"/>
      </w:pPr>
      <w:r>
        <w:rPr>
          <w:b w:val="0"/>
          <w:i w:val="0"/>
          <w:sz w:val="16"/>
        </w:rPr>
        <w:t>[14] NISTIR 8286; National Center for Education Statistics, Forum Guide to Education Indicators (2020).</w:t>
      </w:r>
    </w:p>
    <w:p>
      <w:pPr>
        <w:spacing w:after="40" w:line="240" w:lineRule="auto"/>
      </w:pPr>
      <w:r>
        <w:rPr>
          <w:b w:val="0"/>
          <w:i w:val="0"/>
          <w:sz w:val="16"/>
        </w:rPr>
        <w:t>[15] Fed. R. Evid. 401, 403, 602, 803(6).</w:t>
      </w:r>
    </w:p>
    <w:p>
      <w:pPr>
        <w:spacing w:after="40" w:line="240" w:lineRule="auto"/>
      </w:pPr>
      <w:r>
        <w:rPr>
          <w:b w:val="0"/>
          <w:i w:val="0"/>
          <w:sz w:val="16"/>
        </w:rPr>
        <w:t>[16] FERPA, 20 U.S.C. § 1232g; 34 C.F.R. §§ 99.30–99.67 (privacy and redisclosure); Fed. R. Evid. 403.</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37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6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Attendance and Discipline Records at Permanency Hearings</dc:title>
  <dc:subject/>
  <dc:creator>Delphine Falconer</dc:creator>
  <cp:keywords/>
  <dc:description>generated by python-docx</dc:description>
  <cp:lastModifiedBy/>
  <cp:revision>1</cp:revision>
  <dcterms:created xsi:type="dcterms:W3CDTF">2013-12-23T23:15:00Z</dcterms:created>
  <dcterms:modified xsi:type="dcterms:W3CDTF">2013-12-23T23:15:00Z</dcterms:modified>
  <cp:category/>
</cp:coreProperties>
</file>