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40"/>
      </w:pPr>
      <w:r>
        <w:rPr>
          <w:rFonts w:ascii="Arial" w:hAnsi="Arial"/>
          <w:b/>
          <w:i w:val="0"/>
          <w:color w:val="17324D"/>
          <w:sz w:val="30"/>
        </w:rPr>
        <w:t>Supplier Award Decision Memorandum</w:t>
      </w:r>
    </w:p>
    <w:p>
      <w:pPr>
        <w:spacing w:after="80"/>
      </w:pPr>
      <w:r>
        <w:rPr>
          <w:rFonts w:ascii="Arial" w:hAnsi="Arial"/>
          <w:b w:val="0"/>
          <w:i w:val="0"/>
          <w:color w:val="526777"/>
          <w:sz w:val="16"/>
        </w:rPr>
        <w:t>Control-panel assembly line | Decision record for Halberdine Agricultural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921"/>
            <w:shd w:fill="E7EEF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24445F"/>
                <w:sz w:val="14"/>
              </w:rPr>
              <w:t>To</w:t>
            </w:r>
          </w:p>
        </w:tc>
        <w:tc>
          <w:tcPr>
            <w:tcW w:type="dxa" w:w="437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Jasmin Ricciardi, Halberdine Agricultural</w:t>
            </w:r>
          </w:p>
        </w:tc>
        <w:tc>
          <w:tcPr>
            <w:tcW w:type="dxa" w:w="1267"/>
            <w:shd w:fill="E7EEF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24445F"/>
                <w:sz w:val="14"/>
              </w:rPr>
              <w:t>Internal approver</w:t>
            </w:r>
          </w:p>
        </w:tc>
        <w:tc>
          <w:tcPr>
            <w:tcW w:type="dxa" w:w="400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Viktor Stavropoulos</w:t>
            </w:r>
          </w:p>
        </w:tc>
      </w:tr>
      <w:tr>
        <w:tc>
          <w:tcPr>
            <w:tcW w:type="dxa" w:w="921"/>
            <w:shd w:fill="E7EEF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24445F"/>
                <w:sz w:val="14"/>
              </w:rPr>
              <w:t>As of</w:t>
            </w:r>
          </w:p>
        </w:tc>
        <w:tc>
          <w:tcPr>
            <w:tcW w:type="dxa" w:w="437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25 October 2024</w:t>
            </w:r>
          </w:p>
        </w:tc>
        <w:tc>
          <w:tcPr>
            <w:tcW w:type="dxa" w:w="1267"/>
            <w:shd w:fill="E7EEF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24445F"/>
                <w:sz w:val="14"/>
              </w:rPr>
              <w:t>Award period</w:t>
            </w:r>
          </w:p>
        </w:tc>
        <w:tc>
          <w:tcPr>
            <w:tcW w:type="dxa" w:w="400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1 November 2024 to 30 April 2025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569"/>
            <w:shd w:fill="EAF3F0"/>
            <w:tcBorders>
              <w:top w:val="single" w:sz="10" w:space="0" w:color="4C8B75"/>
              <w:left w:val="single" w:sz="10" w:space="0" w:color="4C8B75"/>
              <w:bottom w:val="single" w:sz="10" w:space="0" w:color="4C8B75"/>
              <w:right w:val="single" w:sz="10" w:space="0" w:color="4C8B75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1B5E4B"/>
                <w:sz w:val="16"/>
              </w:rPr>
              <w:t xml:space="preserve">AUTHORIZED DIRECTION  </w:t>
            </w:r>
            <w:r>
              <w:rPr>
                <w:rFonts w:ascii="Arial" w:hAnsi="Arial"/>
                <w:b w:val="0"/>
                <w:i w:val="0"/>
                <w:color w:val="183A32"/>
                <w:sz w:val="16"/>
              </w:rPr>
              <w:t>Renew the current approved incumbent for the six-month production call-off only, subject to the MUST gates below. The approved alternate remains a continuity contingency and is not authorized for target-assembly production.</w:t>
            </w:r>
          </w:p>
        </w:tc>
      </w:tr>
    </w:tbl>
    <w:p>
      <w:pPr>
        <w:keepNext/>
        <w:spacing w:before="80" w:after="40"/>
      </w:pPr>
      <w:r>
        <w:rPr>
          <w:rFonts w:ascii="Arial" w:hAnsi="Arial"/>
          <w:b/>
          <w:i w:val="0"/>
          <w:color w:val="24445F"/>
          <w:sz w:val="20"/>
        </w:rPr>
        <w:t>Decision basis</w:t>
      </w:r>
    </w:p>
    <w:p>
      <w:pPr>
        <w:keepLines w:val="0"/>
        <w:spacing w:before="0" w:after="40" w:line="240" w:lineRule="auto"/>
      </w:pPr>
      <w:r>
        <w:rPr>
          <w:rFonts w:ascii="Arial" w:hAnsi="Arial"/>
          <w:b w:val="0"/>
          <w:i w:val="0"/>
          <w:sz w:val="16"/>
        </w:rPr>
        <w:t xml:space="preserve">The renewal is the single production path because the incumbent's existing assembly is currently released for both Ontario, Canada and Victoria, Australia, and its stated </w:t>
      </w:r>
      <w:r>
        <w:rPr>
          <w:rFonts w:ascii="Arial" w:hAnsi="Arial"/>
          <w:b/>
          <w:i w:val="0"/>
          <w:sz w:val="16"/>
        </w:rPr>
        <w:t>1,600/month</w:t>
      </w:r>
      <w:r>
        <w:rPr>
          <w:rFonts w:ascii="Arial" w:hAnsi="Arial"/>
          <w:b w:val="0"/>
          <w:i w:val="0"/>
          <w:sz w:val="16"/>
        </w:rPr>
        <w:t xml:space="preserve"> capacity gives 50 units/month headroom over the 1,550-unit peak. </w:t>
      </w:r>
      <w:r>
        <w:rPr>
          <w:rFonts w:ascii="Arial" w:hAnsi="Arial"/>
          <w:b w:val="0"/>
          <w:i w:val="0"/>
          <w:sz w:val="16"/>
        </w:rPr>
        <w:t xml:space="preserve">This continuity advantage does not make the incumbent's latest-quarter deterioration acceptable; its recovery package is a release condition. </w:t>
      </w:r>
      <w:r>
        <w:rPr>
          <w:rFonts w:ascii="Arial" w:hAnsi="Arial"/>
          <w:b w:val="0"/>
          <w:i w:val="0"/>
          <w:sz w:val="16"/>
        </w:rPr>
        <w:t xml:space="preserve">The alternate has a lower quantified commercial case, but its evidence is from a different assembly family, its stated capacity is </w:t>
      </w:r>
      <w:r>
        <w:rPr>
          <w:rFonts w:ascii="Arial" w:hAnsi="Arial"/>
          <w:b/>
          <w:i w:val="0"/>
          <w:sz w:val="16"/>
        </w:rPr>
        <w:t>50 units/month short of peak</w:t>
      </w:r>
      <w:r>
        <w:rPr>
          <w:rFonts w:ascii="Arial" w:hAnsi="Arial"/>
          <w:b w:val="0"/>
          <w:i w:val="0"/>
          <w:sz w:val="16"/>
        </w:rPr>
        <w:t>, and neither destination has completed part-, line-, and destination-specific engineering and quality release.</w:t>
      </w:r>
    </w:p>
    <w:p>
      <w:pPr>
        <w:keepNext/>
        <w:spacing w:before="80" w:after="40"/>
      </w:pPr>
      <w:r>
        <w:rPr>
          <w:rFonts w:ascii="Arial" w:hAnsi="Arial"/>
          <w:b/>
          <w:i w:val="0"/>
          <w:color w:val="24445F"/>
          <w:sz w:val="20"/>
        </w:rPr>
        <w:t>Forward commercial 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800"/>
            <w:shd w:fill="24445F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Supplier</w:t>
            </w:r>
          </w:p>
        </w:tc>
        <w:tc>
          <w:tcPr>
            <w:tcW w:type="dxa" w:w="2131"/>
            <w:shd w:fill="24445F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Base purchase</w:t>
            </w:r>
          </w:p>
        </w:tc>
        <w:tc>
          <w:tcPr>
            <w:tcW w:type="dxa" w:w="2289"/>
            <w:shd w:fill="24445F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One-time supplied figures</w:t>
            </w:r>
          </w:p>
        </w:tc>
        <w:tc>
          <w:tcPr>
            <w:tcW w:type="dxa" w:w="1627"/>
            <w:shd w:fill="24445F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Projected expedites</w:t>
            </w:r>
          </w:p>
        </w:tc>
        <w:tc>
          <w:tcPr>
            <w:tcW w:type="dxa" w:w="1929"/>
            <w:shd w:fill="24445F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Evaluated forward cost</w:t>
            </w:r>
          </w:p>
        </w:tc>
      </w:tr>
      <w:tr>
        <w:tc>
          <w:tcPr>
            <w:tcW w:type="dxa" w:w="18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Current approved incumbent</w:t>
            </w:r>
          </w:p>
        </w:tc>
        <w:tc>
          <w:tcPr>
            <w:tcW w:type="dxa" w:w="213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8,400 x $118 = $991,200</w:t>
            </w:r>
          </w:p>
        </w:tc>
        <w:tc>
          <w:tcPr>
            <w:tcW w:type="dxa" w:w="228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None stated</w:t>
            </w:r>
          </w:p>
        </w:tc>
        <w:tc>
          <w:tcPr>
            <w:tcW w:type="dxa" w:w="162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$33,000</w:t>
            </w:r>
          </w:p>
        </w:tc>
        <w:tc>
          <w:tcPr>
            <w:tcW w:type="dxa" w:w="192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$1,024,200</w:t>
            </w:r>
          </w:p>
        </w:tc>
      </w:tr>
      <w:tr>
        <w:tc>
          <w:tcPr>
            <w:tcW w:type="dxa" w:w="18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Approved alternate</w:t>
            </w:r>
          </w:p>
        </w:tc>
        <w:tc>
          <w:tcPr>
            <w:tcW w:type="dxa" w:w="213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8,400 x $111 = $932,400</w:t>
            </w:r>
          </w:p>
        </w:tc>
        <w:tc>
          <w:tcPr>
            <w:tcW w:type="dxa" w:w="228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$24,000 tooling + $9,000 initial premium freight</w:t>
            </w:r>
          </w:p>
        </w:tc>
        <w:tc>
          <w:tcPr>
            <w:tcW w:type="dxa" w:w="162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$9,600</w:t>
            </w:r>
          </w:p>
        </w:tc>
        <w:tc>
          <w:tcPr>
            <w:tcW w:type="dxa" w:w="192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$975,000</w:t>
            </w:r>
          </w:p>
        </w:tc>
      </w:tr>
    </w:tbl>
    <w:p>
      <w:pPr>
        <w:keepLines w:val="0"/>
        <w:spacing w:before="0" w:after="20" w:line="240" w:lineRule="auto"/>
      </w:pPr>
      <w:r>
        <w:rPr>
          <w:rFonts w:ascii="Arial" w:hAnsi="Arial"/>
          <w:b/>
          <w:i w:val="0"/>
          <w:sz w:val="16"/>
        </w:rPr>
        <w:t xml:space="preserve">Forecast: 1,400/month x 6 = 8,400 assemblies; peak month 1,550. </w:t>
      </w:r>
      <w:r>
        <w:rPr>
          <w:rFonts w:ascii="Arial" w:hAnsi="Arial"/>
          <w:b w:val="0"/>
          <w:i w:val="0"/>
          <w:sz w:val="16"/>
        </w:rPr>
        <w:t xml:space="preserve">Method: each supplier's July-September expedite spend is repeated once for each of the two call-off quarters. </w:t>
      </w:r>
      <w:r>
        <w:rPr>
          <w:rFonts w:ascii="Arial" w:hAnsi="Arial"/>
          <w:b/>
          <w:i w:val="0"/>
          <w:sz w:val="16"/>
        </w:rPr>
        <w:t xml:space="preserve">The alternate is $49,200 lower in this quantified forward case. </w:t>
      </w:r>
      <w:r>
        <w:rPr>
          <w:rFonts w:ascii="Arial" w:hAnsi="Arial"/>
          <w:b/>
          <w:i w:val="0"/>
          <w:color w:val="A13D2D"/>
          <w:sz w:val="16"/>
        </w:rPr>
        <w:t>The lowest quoted unit price must not be treated as the lowest total-cost decision.</w:t>
      </w:r>
    </w:p>
    <w:p>
      <w:pPr>
        <w:keepLines w:val="0"/>
        <w:spacing w:before="0" w:after="40" w:line="240" w:lineRule="auto"/>
      </w:pPr>
      <w:r>
        <w:rPr>
          <w:rFonts w:ascii="Arial" w:hAnsi="Arial"/>
          <w:b w:val="0"/>
          <w:i/>
          <w:color w:val="526777"/>
          <w:sz w:val="16"/>
        </w:rPr>
        <w:t>Scope limit: quoted prices, supplied one-time costs, historic expedites and stated capacities are the available figures. This view does not assign values to unvalidated scrap, rework, duty, downtime, line-stop loss or jurisdictional compliance exposure.</w:t>
      </w:r>
    </w:p>
    <w:p>
      <w:pPr>
        <w:keepNext/>
        <w:spacing w:before="80" w:after="40"/>
      </w:pPr>
      <w:r>
        <w:rPr>
          <w:rFonts w:ascii="Arial" w:hAnsi="Arial"/>
          <w:b/>
          <w:i w:val="0"/>
          <w:color w:val="24445F"/>
          <w:sz w:val="20"/>
        </w:rPr>
        <w:t>Performance change: April-June 2024 to July-September 2024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843"/>
            <w:shd w:fill="24445F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3"/>
              </w:rPr>
              <w:t>Supplier</w:t>
            </w:r>
          </w:p>
        </w:tc>
        <w:tc>
          <w:tcPr>
            <w:tcW w:type="dxa" w:w="1929"/>
            <w:shd w:fill="24445F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3"/>
              </w:rPr>
              <w:t>On-time delivery</w:t>
            </w:r>
          </w:p>
        </w:tc>
        <w:tc>
          <w:tcPr>
            <w:tcW w:type="dxa" w:w="1843"/>
            <w:shd w:fill="24445F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3"/>
              </w:rPr>
              <w:t>Incoming defects</w:t>
            </w:r>
          </w:p>
        </w:tc>
        <w:tc>
          <w:tcPr>
            <w:tcW w:type="dxa" w:w="1655"/>
            <w:shd w:fill="24445F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3"/>
              </w:rPr>
              <w:t>Lead time (calendar days)</w:t>
            </w:r>
          </w:p>
        </w:tc>
        <w:tc>
          <w:tcPr>
            <w:tcW w:type="dxa" w:w="2880"/>
            <w:shd w:fill="24445F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3"/>
              </w:rPr>
              <w:t>Expedites / spend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3"/>
              </w:rPr>
              <w:t>Current approved incumbent</w:t>
            </w:r>
          </w:p>
        </w:tc>
        <w:tc>
          <w:tcPr>
            <w:tcW w:type="dxa" w:w="192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3"/>
              </w:rPr>
              <w:t>96.4% -&gt; 84.7% (-11.7 pp)</w:t>
            </w:r>
          </w:p>
        </w:tc>
        <w:tc>
          <w:tcPr>
            <w:tcW w:type="dxa" w:w="184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3"/>
              </w:rPr>
              <w:t>1.1% -&gt; 2.8% (+1.7 pp)</w:t>
            </w:r>
          </w:p>
        </w:tc>
        <w:tc>
          <w:tcPr>
            <w:tcW w:type="dxa" w:w="165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3"/>
              </w:rPr>
              <w:t>18 -&gt; 27 days (+9)</w:t>
            </w:r>
          </w:p>
        </w:tc>
        <w:tc>
          <w:tcPr>
            <w:tcW w:type="dxa" w:w="288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3"/>
              </w:rPr>
              <w:t>2 / $2,400 -&gt; 11 / $16,500 (+9; +$14,100)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3"/>
              </w:rPr>
              <w:t>Approved alternate*</w:t>
            </w:r>
          </w:p>
        </w:tc>
        <w:tc>
          <w:tcPr>
            <w:tcW w:type="dxa" w:w="192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3"/>
              </w:rPr>
              <w:t>94.8% -&gt; 93.9% (-0.9 pp)</w:t>
            </w:r>
          </w:p>
        </w:tc>
        <w:tc>
          <w:tcPr>
            <w:tcW w:type="dxa" w:w="1843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3"/>
              </w:rPr>
              <w:t>1.4% -&gt; 1.6% (+0.2 pp)</w:t>
            </w:r>
          </w:p>
        </w:tc>
        <w:tc>
          <w:tcPr>
            <w:tcW w:type="dxa" w:w="1655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3"/>
              </w:rPr>
              <w:t>21 -&gt; 22 days (+1)</w:t>
            </w:r>
          </w:p>
        </w:tc>
        <w:tc>
          <w:tcPr>
            <w:tcW w:type="dxa" w:w="288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3"/>
              </w:rPr>
              <w:t>3 / $3,600 -&gt; 4 / $4,800 (+1; +$1,200)</w:t>
            </w:r>
          </w:p>
        </w:tc>
      </w:tr>
    </w:tbl>
    <w:p>
      <w:pPr>
        <w:keepLines w:val="0"/>
        <w:spacing w:before="0" w:after="0" w:line="240" w:lineRule="auto"/>
      </w:pPr>
      <w:r>
        <w:rPr>
          <w:rFonts w:ascii="Arial" w:hAnsi="Arial"/>
          <w:b w:val="0"/>
          <w:i w:val="0"/>
          <w:sz w:val="16"/>
        </w:rPr>
        <w:t>Why this matters: the incumbent worsened across delivery, defects, lead time and expedite dependence, creating a concrete continuity and containment risk. The alternate is comparatively stable, but *its results are from a different assembly family and are not proof for this target assembly.</w:t>
      </w:r>
    </w:p>
    <w:p>
      <w:r>
        <w:br w:type="page"/>
      </w:r>
    </w:p>
    <w:p>
      <w:pPr>
        <w:keepNext/>
        <w:spacing w:before="80" w:after="40"/>
      </w:pPr>
      <w:r>
        <w:rPr>
          <w:rFonts w:ascii="Arial" w:hAnsi="Arial"/>
          <w:b/>
          <w:i w:val="0"/>
          <w:color w:val="24445F"/>
          <w:sz w:val="20"/>
        </w:rPr>
        <w:t>MUST controls and SHOULD considerations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664"/>
            <w:shd w:fill="24445F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Boundary</w:t>
            </w:r>
          </w:p>
        </w:tc>
        <w:tc>
          <w:tcPr>
            <w:tcW w:type="dxa" w:w="7488"/>
            <w:shd w:fill="24445F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Application to this call-off</w:t>
            </w:r>
          </w:p>
        </w:tc>
      </w:tr>
      <w:tr>
        <w:tc>
          <w:tcPr>
            <w:tcW w:type="dxa" w:w="266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EAF3F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1B5E4B"/>
                <w:sz w:val="14"/>
              </w:rPr>
              <w:t>MUST - release, authority and evidence</w:t>
            </w:r>
          </w:p>
        </w:tc>
        <w:tc>
          <w:tcPr>
            <w:tcW w:type="dxa" w:w="748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Before any production release: Viktor's written approval because reasonably expected purchasing plus projected expedites is $1,024,200, above the $1,000,000 threshold; Ainsley's written incumbent capacity confirmation; Tadeo's documented recovery and commercial protections; and current release evidence. Sigrid's written part-, line-, and destination-specific engineering and quality release is mandatory before any alternate production use.</w:t>
            </w:r>
          </w:p>
        </w:tc>
      </w:tr>
      <w:tr>
        <w:tc>
          <w:tcPr>
            <w:tcW w:type="dxa" w:w="266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fill="F3F6F8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24445F"/>
                <w:sz w:val="14"/>
              </w:rPr>
              <w:t>SHOULD - commercial decision considerations</w:t>
            </w:r>
          </w:p>
        </w:tc>
        <w:tc>
          <w:tcPr>
            <w:tcW w:type="dxa" w:w="748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Prefer the lower defensible evaluated cost only after MUST controls pass; use comparative delivery, defect, lead-time, expedite and continuity evidence; maintain the alternate as a validated continuity option. These are important decision considerations, not substitutes for release or authority.</w:t>
            </w:r>
          </w:p>
        </w:tc>
      </w:tr>
    </w:tbl>
    <w:p>
      <w:pPr>
        <w:keepNext/>
        <w:spacing w:before="80" w:after="40"/>
      </w:pPr>
      <w:r>
        <w:rPr>
          <w:rFonts w:ascii="Arial" w:hAnsi="Arial"/>
          <w:b/>
          <w:i w:val="0"/>
          <w:color w:val="24445F"/>
          <w:sz w:val="20"/>
        </w:rPr>
        <w:t>Destination and capacity status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28"/>
            <w:shd w:fill="24445F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Destination</w:t>
            </w:r>
          </w:p>
        </w:tc>
        <w:tc>
          <w:tcPr>
            <w:tcW w:type="dxa" w:w="4104"/>
            <w:shd w:fill="24445F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Current approved incumbent</w:t>
            </w:r>
          </w:p>
        </w:tc>
        <w:tc>
          <w:tcPr>
            <w:tcW w:type="dxa" w:w="4219"/>
            <w:shd w:fill="24445F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Approved alternate</w:t>
            </w:r>
          </w:p>
        </w:tc>
      </w:tr>
      <w:tr>
        <w:tc>
          <w:tcPr>
            <w:tcW w:type="dxa" w:w="182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Ontario, Canada</w:t>
            </w:r>
          </w:p>
        </w:tc>
        <w:tc>
          <w:tcPr>
            <w:tcW w:type="dxa" w:w="410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Existing assembly currently released. Stated 1,600/month vs 1,550 peak = 50-unit/month headroom; confirmation still required.</w:t>
            </w:r>
          </w:p>
        </w:tc>
        <w:tc>
          <w:tcPr>
            <w:tcW w:type="dxa" w:w="421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Approved-supplier status only. No completed part-, line-, and destination-specific engineering and quality release. Stated 1,500/month vs peak = 50-unit/month shortfall.</w:t>
            </w:r>
          </w:p>
        </w:tc>
      </w:tr>
      <w:tr>
        <w:tc>
          <w:tcPr>
            <w:tcW w:type="dxa" w:w="1828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Victoria, Australia</w:t>
            </w:r>
          </w:p>
        </w:tc>
        <w:tc>
          <w:tcPr>
            <w:tcW w:type="dxa" w:w="410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Existing assembly currently released. Stated 1,600/month vs 1,550 peak = 50-unit/month headroom; confirmation still required.</w:t>
            </w:r>
          </w:p>
        </w:tc>
        <w:tc>
          <w:tcPr>
            <w:tcW w:type="dxa" w:w="421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4"/>
              </w:rPr>
              <w:t>Approved-supplier status only. No completed part-, line-, and destination-specific engineering and quality release. Stated 1,500/month vs peak = 50-unit/month shortfall.</w:t>
            </w:r>
          </w:p>
        </w:tc>
      </w:tr>
    </w:tbl>
    <w:p>
      <w:pPr>
        <w:keepLines w:val="0"/>
        <w:spacing w:before="0" w:after="40" w:line="240" w:lineRule="auto"/>
      </w:pPr>
      <w:r>
        <w:rPr>
          <w:rFonts w:ascii="Arial" w:hAnsi="Arial"/>
          <w:b w:val="0"/>
          <w:i/>
          <w:color w:val="526777"/>
          <w:sz w:val="16"/>
        </w:rPr>
        <w:t>Ontario and Victoria remain separate release decisions: evidence or release for one destination does not clear the other. Sigrid estimates six to eight weeks for the alternate reviews, with no commitment that either will close before 1 November 2024.</w:t>
      </w:r>
    </w:p>
    <w:p>
      <w:pPr>
        <w:keepNext/>
        <w:spacing w:before="80" w:after="40"/>
      </w:pPr>
      <w:r>
        <w:rPr>
          <w:rFonts w:ascii="Arial" w:hAnsi="Arial"/>
          <w:b/>
          <w:i w:val="0"/>
          <w:color w:val="24445F"/>
          <w:sz w:val="20"/>
        </w:rPr>
        <w:t>Authority boundary, execution gates and exception path</w:t>
      </w:r>
    </w:p>
    <w:p>
      <w:pPr>
        <w:keepLines w:val="0"/>
        <w:spacing w:before="0" w:after="40" w:line="240" w:lineRule="auto"/>
      </w:pPr>
      <w:r>
        <w:rPr>
          <w:rFonts w:ascii="Arial" w:hAnsi="Arial"/>
          <w:b/>
          <w:i w:val="0"/>
          <w:color w:val="A13D2D"/>
          <w:sz w:val="16"/>
        </w:rPr>
        <w:t xml:space="preserve">Purchasing's supplier-path decision does not constitute engineering, quality or jurisdictional technical approval. </w:t>
      </w:r>
      <w:r>
        <w:rPr>
          <w:rFonts w:ascii="Arial" w:hAnsi="Arial"/>
          <w:b w:val="0"/>
          <w:i w:val="0"/>
          <w:sz w:val="16"/>
        </w:rPr>
        <w:t>Sigrid Karlsson retains engineering and quality release authority. Required sequence: Viktor written approval by 25 October; Ainsley Achterberg's capacity confirmation by 28 October; Tadeo's signed recovery package by 29 October; and Tadeo's release check on 31 October before the 1 November start.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569"/>
            <w:shd w:fill="FFF4E5"/>
            <w:tcBorders>
              <w:top w:val="single" w:sz="8" w:space="0" w:color="C77D1A"/>
              <w:left w:val="single" w:sz="8" w:space="0" w:color="C77D1A"/>
              <w:bottom w:val="single" w:sz="8" w:space="0" w:color="C77D1A"/>
              <w:right w:val="single" w:sz="8" w:space="0" w:color="C77D1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i w:val="0"/>
                <w:color w:val="8A4B08"/>
                <w:sz w:val="16"/>
              </w:rPr>
              <w:t xml:space="preserve">IF A MUST GATE IS MISSED  </w:t>
            </w:r>
            <w:r>
              <w:rPr>
                <w:rFonts w:ascii="Arial" w:hAnsi="Arial"/>
                <w:b w:val="0"/>
                <w:i w:val="0"/>
                <w:color w:val="53310C"/>
                <w:sz w:val="16"/>
              </w:rPr>
              <w:t>Hold the affected production release, escalate the missing gate to its accountable owner, and use only a time-bounded validated continuity bridge with a supplier and assembly already valid for production and Viktor's documented authority. The alternate remains unreleased until each destination has its own written release and its 50-unit peak-capacity gap is closed.</w:t>
            </w:r>
          </w:p>
        </w:tc>
      </w:tr>
    </w:tbl>
    <w:p>
      <w:pPr>
        <w:keepNext/>
        <w:spacing w:before="80" w:after="40"/>
      </w:pPr>
      <w:r>
        <w:rPr>
          <w:rFonts w:ascii="Arial" w:hAnsi="Arial"/>
          <w:b/>
          <w:i w:val="0"/>
          <w:color w:val="24445F"/>
          <w:sz w:val="20"/>
        </w:rPr>
        <w:t>Post-award control</w:t>
      </w:r>
    </w:p>
    <w:p>
      <w:pPr>
        <w:keepLines w:val="0"/>
        <w:spacing w:before="0" w:after="0" w:line="240" w:lineRule="auto"/>
      </w:pPr>
      <w:r>
        <w:rPr>
          <w:rFonts w:ascii="Arial" w:hAnsi="Arial"/>
          <w:b w:val="0"/>
          <w:i w:val="0"/>
          <w:sz w:val="16"/>
        </w:rPr>
        <w:t>Tadeo Gasparyan leads the 29 November review and monthly reviews through 30 April 2025 with Ainsley's capacity input. Trigger corrective action and reopen the sourcing review for on-time delivery below 95.0%, incoming defects above 1.5%, lead time above 22 calendar days, or more than one expedite in a month; repeat breach in two months or capacity failure escalates to Viktor.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792" w:bottom="619" w:left="792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i w:val="0"/>
        <w:color w:val="64748B"/>
        <w:sz w:val="14"/>
      </w:rPr>
      <w:t>Supplier award record | Halberdine Agricultural | 25 October 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i w:val="0"/>
        <w:color w:val="24445F"/>
        <w:sz w:val="14"/>
      </w:rPr>
      <w:t>LANTERNWOOD TRADING COMPANY  |  PROCUREMENT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Award Decision Memorandum</dc:title>
  <dc:subject>Control-panel assembly call-off decision</dc:subject>
  <dc:creator>Lanternwood Trading Company</dc:creator>
  <cp:keywords>supplier award, call-off, Halberdine Agricultural</cp:keywords>
  <dc:description>Private reference solution generated from frozen task facts.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