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Aptos Display" w:hAnsi="Aptos Display"/>
          <w:b/>
          <w:color w:val="17324D"/>
          <w:sz w:val="42"/>
        </w:rPr>
        <w:t>Termination Notice</w:t>
      </w:r>
    </w:p>
    <w:p>
      <w:pPr>
        <w:spacing w:after="180"/>
      </w:pPr>
      <w:r>
        <w:rPr>
          <w:rFonts w:ascii="Aptos" w:hAnsi="Aptos"/>
          <w:color w:val="57636E"/>
          <w:sz w:val="20"/>
        </w:rPr>
        <w:t>Monitoring Services Agreement</w:t>
      </w:r>
    </w:p>
    <w:tbl>
      <w:tblPr>
        <w:tblW w:type="auto" w:w="0"/>
        <w:tblLayout w:type="fixed"/>
        <w:tblLook w:firstColumn="1" w:firstRow="1" w:lastColumn="0" w:lastRow="0" w:noHBand="0" w:noVBand="1" w:val="04A0"/>
        <w:tblBorders>
          <w:top w:val="single" w:sz="6" w:color="D8E0E5"/>
          <w:left w:val="single" w:sz="6" w:color="D8E0E5"/>
          <w:bottom w:val="single" w:sz="6" w:color="D8E0E5"/>
          <w:right w:val="single" w:sz="6" w:color="D8E0E5"/>
          <w:insideH w:val="single" w:sz="6" w:color="D8E0E5"/>
          <w:insideV w:val="single" w:sz="6" w:color="D8E0E5"/>
        </w:tblBorders>
      </w:tblPr>
      <w:tblGrid>
        <w:gridCol w:w="5156"/>
        <w:gridCol w:w="5156"/>
      </w:tblGrid>
      <w:tr>
        <w:tc>
          <w:tcPr>
            <w:tcW w:type="dxa" w:w="1899"/>
            <w:shd w:fill="F3F5F6"/>
            <w:vAlign w:val="center"/>
            <w:tcMar>
              <w:top w:w="90" w:type="dxa"/>
              <w:start w:w="120" w:type="dxa"/>
              <w:bottom w:w="90" w:type="dxa"/>
              <w:end w:w="120" w:type="dxa"/>
            </w:tcMar>
          </w:tcPr>
          <w:p>
            <w:pPr>
              <w:spacing w:after="0" w:line="240" w:lineRule="auto"/>
            </w:pPr>
            <w:r/>
            <w:r>
              <w:rPr>
                <w:rFonts w:ascii="Aptos" w:hAnsi="Aptos"/>
                <w:b/>
                <w:color w:val="17324D"/>
                <w:sz w:val="16"/>
              </w:rPr>
              <w:t>Date</w:t>
            </w:r>
          </w:p>
        </w:tc>
        <w:tc>
          <w:tcPr>
            <w:tcW w:type="dxa" w:w="7852"/>
            <w:vAlign w:val="center"/>
            <w:tcMar>
              <w:top w:w="90" w:type="dxa"/>
              <w:start w:w="120" w:type="dxa"/>
              <w:bottom w:w="90" w:type="dxa"/>
              <w:end w:w="120" w:type="dxa"/>
            </w:tcMar>
            <w:shd w:fill="FFF2CC"/>
          </w:tcPr>
          <w:p>
            <w:pPr>
              <w:spacing w:after="0" w:line="240" w:lineRule="auto"/>
            </w:pPr>
            <w:r/>
            <w:r>
              <w:rPr>
                <w:rFonts w:ascii="Aptos" w:hAnsi="Aptos"/>
                <w:b w:val="0"/>
                <w:color w:val="9C5700"/>
                <w:sz w:val="16"/>
              </w:rPr>
              <w:t>[CONFIRM DATE OF AUTHORISED DISPATCH]</w:t>
            </w:r>
          </w:p>
        </w:tc>
      </w:tr>
      <w:tr>
        <w:tc>
          <w:tcPr>
            <w:tcW w:type="dxa" w:w="1899"/>
            <w:shd w:fill="F3F5F6"/>
            <w:vAlign w:val="center"/>
            <w:tcMar>
              <w:top w:w="90" w:type="dxa"/>
              <w:start w:w="120" w:type="dxa"/>
              <w:bottom w:w="90" w:type="dxa"/>
              <w:end w:w="120" w:type="dxa"/>
            </w:tcMar>
          </w:tcPr>
          <w:p>
            <w:pPr>
              <w:spacing w:after="0" w:line="240" w:lineRule="auto"/>
            </w:pPr>
            <w:r/>
            <w:r>
              <w:rPr>
                <w:rFonts w:ascii="Aptos" w:hAnsi="Aptos"/>
                <w:b/>
                <w:color w:val="17324D"/>
                <w:sz w:val="16"/>
              </w:rPr>
              <w:t>To</w:t>
            </w:r>
          </w:p>
        </w:tc>
        <w:tc>
          <w:tcPr>
            <w:tcW w:type="dxa" w:w="7852"/>
            <w:vAlign w:val="center"/>
            <w:tcMar>
              <w:top w:w="90" w:type="dxa"/>
              <w:start w:w="120" w:type="dxa"/>
              <w:bottom w:w="90" w:type="dxa"/>
              <w:end w:w="120" w:type="dxa"/>
            </w:tcMar>
            <w:shd w:fill="FFF2CC"/>
          </w:tcPr>
          <w:p>
            <w:pPr>
              <w:spacing w:after="0" w:line="240" w:lineRule="auto"/>
            </w:pPr>
            <w:r/>
            <w:r>
              <w:rPr>
                <w:rFonts w:ascii="Aptos" w:hAnsi="Aptos"/>
                <w:b w:val="0"/>
                <w:color w:val="9C5700"/>
                <w:sz w:val="16"/>
              </w:rPr>
              <w:t>[CONFIRM VENDOR LEGAL NAME]</w:t>
            </w:r>
          </w:p>
        </w:tc>
      </w:tr>
      <w:tr>
        <w:tc>
          <w:tcPr>
            <w:tcW w:type="dxa" w:w="1899"/>
            <w:shd w:fill="F3F5F6"/>
            <w:vAlign w:val="center"/>
            <w:tcMar>
              <w:top w:w="90" w:type="dxa"/>
              <w:start w:w="120" w:type="dxa"/>
              <w:bottom w:w="90" w:type="dxa"/>
              <w:end w:w="120" w:type="dxa"/>
            </w:tcMar>
          </w:tcPr>
          <w:p>
            <w:pPr>
              <w:spacing w:after="0" w:line="240" w:lineRule="auto"/>
            </w:pPr>
            <w:r/>
            <w:r>
              <w:rPr>
                <w:rFonts w:ascii="Aptos" w:hAnsi="Aptos"/>
                <w:b/>
                <w:color w:val="17324D"/>
                <w:sz w:val="16"/>
              </w:rPr>
              <w:t>Notice address</w:t>
            </w:r>
          </w:p>
        </w:tc>
        <w:tc>
          <w:tcPr>
            <w:tcW w:type="dxa" w:w="7852"/>
            <w:vAlign w:val="center"/>
            <w:tcMar>
              <w:top w:w="90" w:type="dxa"/>
              <w:start w:w="120" w:type="dxa"/>
              <w:bottom w:w="90" w:type="dxa"/>
              <w:end w:w="120" w:type="dxa"/>
            </w:tcMar>
            <w:shd w:fill="FFF2CC"/>
          </w:tcPr>
          <w:p>
            <w:pPr>
              <w:spacing w:after="0" w:line="240" w:lineRule="auto"/>
            </w:pPr>
            <w:r/>
            <w:r>
              <w:rPr>
                <w:rFonts w:ascii="Aptos" w:hAnsi="Aptos"/>
                <w:b w:val="0"/>
                <w:color w:val="9C5700"/>
                <w:sz w:val="16"/>
              </w:rPr>
              <w:t>[CONFIRM CLAUSE 15.1 NOTICE ADDRESS]</w:t>
            </w:r>
          </w:p>
        </w:tc>
      </w:tr>
      <w:tr>
        <w:tc>
          <w:tcPr>
            <w:tcW w:type="dxa" w:w="1899"/>
            <w:shd w:fill="F3F5F6"/>
            <w:vAlign w:val="center"/>
            <w:tcMar>
              <w:top w:w="90" w:type="dxa"/>
              <w:start w:w="120" w:type="dxa"/>
              <w:bottom w:w="90" w:type="dxa"/>
              <w:end w:w="120" w:type="dxa"/>
            </w:tcMar>
          </w:tcPr>
          <w:p>
            <w:pPr>
              <w:spacing w:after="0" w:line="240" w:lineRule="auto"/>
            </w:pPr>
            <w:r/>
            <w:r>
              <w:rPr>
                <w:rFonts w:ascii="Aptos" w:hAnsi="Aptos"/>
                <w:b/>
                <w:color w:val="17324D"/>
                <w:sz w:val="16"/>
              </w:rPr>
              <w:t>Delivery method</w:t>
            </w:r>
          </w:p>
        </w:tc>
        <w:tc>
          <w:tcPr>
            <w:tcW w:type="dxa" w:w="7852"/>
            <w:vAlign w:val="center"/>
            <w:tcMar>
              <w:top w:w="90" w:type="dxa"/>
              <w:start w:w="120" w:type="dxa"/>
              <w:bottom w:w="90" w:type="dxa"/>
              <w:end w:w="120" w:type="dxa"/>
            </w:tcMar>
            <w:shd w:fill="FFF2CC"/>
          </w:tcPr>
          <w:p>
            <w:pPr>
              <w:spacing w:after="0" w:line="240" w:lineRule="auto"/>
            </w:pPr>
            <w:r/>
            <w:r>
              <w:rPr>
                <w:rFonts w:ascii="Aptos" w:hAnsi="Aptos"/>
                <w:b w:val="0"/>
                <w:color w:val="9C5700"/>
                <w:sz w:val="16"/>
              </w:rPr>
              <w:t>[CONFIRM CONTRACTUALLY PERMITTED METHOD UNDER CLAUSE 15.1]</w:t>
            </w:r>
          </w:p>
        </w:tc>
      </w:tr>
      <w:tr>
        <w:tc>
          <w:tcPr>
            <w:tcW w:type="dxa" w:w="1899"/>
            <w:shd w:fill="F3F5F6"/>
            <w:vAlign w:val="center"/>
            <w:tcMar>
              <w:top w:w="90" w:type="dxa"/>
              <w:start w:w="120" w:type="dxa"/>
              <w:bottom w:w="90" w:type="dxa"/>
              <w:end w:w="120" w:type="dxa"/>
            </w:tcMar>
          </w:tcPr>
          <w:p>
            <w:pPr>
              <w:spacing w:after="0" w:line="240" w:lineRule="auto"/>
            </w:pPr>
            <w:r/>
            <w:r>
              <w:rPr>
                <w:rFonts w:ascii="Aptos" w:hAnsi="Aptos"/>
                <w:b/>
                <w:color w:val="17324D"/>
                <w:sz w:val="16"/>
              </w:rPr>
              <w:t>Agreement</w:t>
            </w:r>
          </w:p>
        </w:tc>
        <w:tc>
          <w:tcPr>
            <w:tcW w:type="dxa" w:w="7852"/>
            <w:vAlign w:val="center"/>
            <w:tcMar>
              <w:top w:w="90" w:type="dxa"/>
              <w:start w:w="120" w:type="dxa"/>
              <w:bottom w:w="90" w:type="dxa"/>
              <w:end w:w="120" w:type="dxa"/>
            </w:tcMar>
            <w:shd w:fill="FFF2CC"/>
          </w:tcPr>
          <w:p>
            <w:pPr>
              <w:spacing w:after="0" w:line="240" w:lineRule="auto"/>
            </w:pPr>
            <w:r/>
            <w:r>
              <w:rPr>
                <w:rFonts w:ascii="Aptos" w:hAnsi="Aptos"/>
                <w:b w:val="0"/>
                <w:color w:val="9C5700"/>
                <w:sz w:val="16"/>
              </w:rPr>
              <w:t>Monitoring Services Agreement [CONFIRM AGREEMENT DATE / IDENTIFIER]</w:t>
            </w:r>
          </w:p>
        </w:tc>
      </w:tr>
    </w:tbl>
    <w:p>
      <w:pPr>
        <w:spacing w:after="0"/>
      </w:pPr>
    </w:p>
    <w:p>
      <w:pPr>
        <w:spacing w:after="140" w:line="259" w:lineRule="auto"/>
      </w:pPr>
      <w:r>
        <w:t>Dear Sir or Madam,</w:t>
      </w:r>
    </w:p>
    <w:p>
      <w:pPr>
        <w:spacing w:after="100" w:line="259" w:lineRule="auto"/>
      </w:pPr>
      <w:r>
        <w:t xml:space="preserve">Heronbank Housing Trust (“Heronbank”) gives this notice in respect of the Monitoring Services Agreement identified above. </w:t>
      </w:r>
      <w:r>
        <w:t xml:space="preserve">Pursuant to the contractual notice mechanism in clause 15.1, Heronbank is terminating the Monitoring Services Agreement eleven months early (eleven months before its scheduled end), with effect from </w:t>
      </w:r>
      <w:r>
        <w:rPr>
          <w:b/>
          <w:color w:val="9C5700"/>
          <w:highlight w:val="yellow"/>
        </w:rPr>
        <w:t>[CONFIRM EFFECTIVE TERMINATION DATE / CONTRACTUAL NOTICE REQUIREMENT]</w:t>
      </w:r>
      <w:r>
        <w:t>.</w:t>
      </w:r>
    </w:p>
    <w:p>
      <w:pPr>
        <w:spacing w:after="100" w:line="259" w:lineRule="auto"/>
      </w:pPr>
      <w:r>
        <w:t>The decision follows repeated failures to apply contractual service credits due after monitoring outages. This notice is not an outage chronology or a determination of technical causation. Nothing in it accepts that Heronbank’s monitoring configuration caused either of the two outages associated with configuration.</w:t>
      </w:r>
    </w:p>
    <w:p>
      <w:pPr>
        <w:spacing w:after="100" w:line="259" w:lineRule="auto"/>
      </w:pPr>
      <w:r>
        <w:t>Heronbank reserves its claim for £40,000 in service credits under clause 12.4. That claim is not waived, settled or otherwise resolved by this notice. Heronbank also reserves all of its rights and remedies under the Agreement and at law.</w:t>
      </w:r>
    </w:p>
    <w:p>
      <w:pPr>
        <w:spacing w:after="100" w:line="259" w:lineRule="auto"/>
      </w:pPr>
      <w:r>
        <w:t>Under clause 7.3, please confirm in writing the arrangements and timetable for returning all Heronbank monitoring data. Retained copies must be deleted only after Heronbank has received and checked the returned data, and thereafter in accordance with the Agreement.</w:t>
      </w:r>
    </w:p>
    <w:p>
      <w:pPr>
        <w:spacing w:after="180" w:line="259" w:lineRule="auto"/>
      </w:pPr>
      <w:r>
        <w:t>Please confirm in writing receipt of this notice, the termination, and the data-return arrangements. This notice records Heronbank’s decision to terminate on the basis stated above.</w:t>
      </w:r>
    </w:p>
    <w:p>
      <w:pPr>
        <w:spacing w:after="280" w:line="259" w:lineRule="auto"/>
      </w:pPr>
      <w:r>
        <w:t>Yours faithfully,</w:t>
      </w:r>
    </w:p>
    <w:p>
      <w:pPr>
        <w:spacing w:after="20"/>
      </w:pPr>
      <w:r>
        <w:rPr>
          <w:b/>
          <w:color w:val="9C5700"/>
          <w:highlight w:val="yellow"/>
        </w:rPr>
        <w:t>[CONFIRM AUTHORISED HERONBANK REPRESENTATIVE OR EXPRESSLY AUTHORISED AGENT]</w:t>
      </w:r>
    </w:p>
    <w:p>
      <w:pPr>
        <w:spacing w:after="0"/>
      </w:pPr>
      <w:r>
        <w:rPr>
          <w:i/>
          <w:color w:val="57636E"/>
        </w:rPr>
        <w:t>For and on behalf of Heronbank Housing Trust</w:t>
      </w:r>
    </w:p>
    <w:p>
      <w:pPr>
        <w:spacing w:before="160" w:after="0"/>
      </w:pPr>
      <w:r>
        <w:rPr>
          <w:color w:val="57636E"/>
          <w:sz w:val="15"/>
        </w:rPr>
        <w:t>Release control: complete highlighted confirmations and execute only through the authority required by the Agreement and Heronbank.</w:t>
      </w:r>
    </w:p>
    <w:sectPr w:rsidR="00FC693F" w:rsidRPr="0006063C" w:rsidSect="00034616">
      <w:footerReference w:type="default" r:id="rId9"/>
      <w:headerReference w:type="default" r:id="rId10"/>
      <w:pgSz w:w="12240" w:h="15840"/>
      <w:pgMar w:top="879" w:right="964" w:bottom="822" w:left="964" w:header="369"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7636E"/>
        <w:sz w:val="15"/>
      </w:rPr>
      <w:t>Heronbank Housing Trust  |  Controlled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Display" w:hAnsi="Aptos Display"/>
        <w:b/>
        <w:color w:val="17324D"/>
        <w:sz w:val="18"/>
      </w:rPr>
      <w:t>REDCLIFFE PRACTICE</w:t>
    </w:r>
    <w:r>
      <w:rPr>
        <w:rFonts w:ascii="Aptos" w:hAnsi="Aptos"/>
        <w:color w:val="187C7C"/>
        <w:sz w:val="16"/>
      </w:rPr>
      <w:t xml:space="preserve">   SERVICE GOVERNANCE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color w:val="202A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24D"/>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7636E"/>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Termination Notice — Heronbank Housing Trust</dc:title>
  <dc:subject>Controlled contractual notice</dc:subject>
  <dc:creator>Redcliffe Practice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