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eastAsia="Arial"/>
          <w:b/>
          <w:i w:val="0"/>
          <w:color w:val="087F82"/>
          <w:sz w:val="17"/>
        </w:rPr>
        <w:t>DECISION BRIEF  |  PREPARED FOR THE OPERATING COMMITTEE</w:t>
      </w:r>
    </w:p>
    <w:p>
      <w:pPr>
        <w:keepNext/>
        <w:spacing w:after="40"/>
      </w:pPr>
      <w:r>
        <w:rPr>
          <w:rFonts w:ascii="Arial" w:hAnsi="Arial" w:eastAsia="Arial"/>
          <w:b/>
          <w:i w:val="0"/>
          <w:color w:val="183B56"/>
          <w:sz w:val="50"/>
        </w:rPr>
        <w:t>Revised Policy-Impact Report</w:t>
      </w:r>
    </w:p>
    <w:p>
      <w:pPr>
        <w:keepNext/>
        <w:spacing w:after="200"/>
      </w:pPr>
      <w:r>
        <w:rPr>
          <w:rFonts w:ascii="Arial" w:hAnsi="Arial" w:eastAsia="Arial"/>
          <w:b w:val="0"/>
          <w:i w:val="0"/>
          <w:color w:val="C56B32"/>
          <w:sz w:val="25"/>
        </w:rPr>
        <w:t>The 12-hour message is not ready for a single England-and-Scotland rollout</w:t>
      </w:r>
    </w:p>
    <w:tbl>
      <w:tblPr>
        <w:tblW w:type="auto" w:w="0"/>
        <w:jc w:val="center"/>
        <w:tblLayout w:type="fixed"/>
        <w:tblLook w:firstColumn="1" w:firstRow="1" w:lastColumn="0" w:lastRow="0" w:noHBand="0" w:noVBand="1" w:val="04A0"/>
      </w:tblPr>
      <w:tblGrid>
        <w:gridCol w:w="4917"/>
        <w:gridCol w:w="4917"/>
      </w:tblGrid>
      <w:tr>
        <w:trPr>
          <w:cantSplit/>
        </w:trPr>
        <w:tc>
          <w:tcPr>
            <w:tcW w:type="dxa" w:w="1800"/>
            <w:shd w:fill="EEF4F8"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i w:val="0"/>
                <w:color w:val="183B56"/>
                <w:sz w:val="17"/>
              </w:rPr>
              <w:t>Prepared by</w:t>
            </w:r>
          </w:p>
        </w:tc>
        <w:tc>
          <w:tcPr>
            <w:tcW w:type="dxa" w:w="8208"/>
            <w:shd w:fill="FFFFFF"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val="0"/>
                <w:i w:val="0"/>
                <w:color w:val="1F2933"/>
                <w:sz w:val="17"/>
              </w:rPr>
              <w:t>Selma Novotny, news analyst</w:t>
            </w:r>
          </w:p>
        </w:tc>
      </w:tr>
      <w:tr>
        <w:trPr>
          <w:cantSplit/>
        </w:trPr>
        <w:tc>
          <w:tcPr>
            <w:tcW w:type="dxa" w:w="1800"/>
            <w:shd w:fill="EEF4F8"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i w:val="0"/>
                <w:color w:val="183B56"/>
                <w:sz w:val="17"/>
              </w:rPr>
              <w:t>For decision</w:t>
            </w:r>
          </w:p>
        </w:tc>
        <w:tc>
          <w:tcPr>
            <w:tcW w:type="dxa" w:w="8208"/>
            <w:shd w:fill="FFFFFF"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val="0"/>
                <w:i w:val="0"/>
                <w:color w:val="1F2933"/>
                <w:sz w:val="17"/>
              </w:rPr>
              <w:t>Oona Bruns; operating committee via Ibrahim Dunbar and Jacinta Yamamoto</w:t>
            </w:r>
          </w:p>
        </w:tc>
      </w:tr>
      <w:tr>
        <w:trPr>
          <w:cantSplit/>
        </w:trPr>
        <w:tc>
          <w:tcPr>
            <w:tcW w:type="dxa" w:w="1800"/>
            <w:shd w:fill="EEF4F8"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i w:val="0"/>
                <w:color w:val="183B56"/>
                <w:sz w:val="17"/>
              </w:rPr>
              <w:t>Frontline use</w:t>
            </w:r>
          </w:p>
        </w:tc>
        <w:tc>
          <w:tcPr>
            <w:tcW w:type="dxa" w:w="8208"/>
            <w:shd w:fill="FFFFFF"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val="0"/>
                <w:i w:val="0"/>
                <w:color w:val="1F2933"/>
                <w:sz w:val="17"/>
              </w:rPr>
              <w:t>Eamon Dalgaard and Eamon Ilechukwu; next month's rollout</w:t>
            </w:r>
          </w:p>
        </w:tc>
      </w:tr>
      <w:tr>
        <w:trPr>
          <w:cantSplit/>
        </w:trPr>
        <w:tc>
          <w:tcPr>
            <w:tcW w:type="dxa" w:w="1800"/>
            <w:shd w:fill="EEF4F8"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i w:val="0"/>
                <w:color w:val="183B56"/>
                <w:sz w:val="17"/>
              </w:rPr>
              <w:t>Scope</w:t>
            </w:r>
          </w:p>
        </w:tc>
        <w:tc>
          <w:tcPr>
            <w:tcW w:type="dxa" w:w="8208"/>
            <w:shd w:fill="FFFFFF"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val="0"/>
                <w:i w:val="0"/>
                <w:color w:val="1F2933"/>
                <w:sz w:val="17"/>
              </w:rPr>
              <w:t>Customer-notification rules for Overbrook Laboratories and Duncastle Mutual in England and Scotland</w:t>
            </w:r>
          </w:p>
        </w:tc>
      </w:tr>
      <w:tr>
        <w:trPr>
          <w:cantSplit/>
        </w:trPr>
        <w:tc>
          <w:tcPr>
            <w:tcW w:type="dxa" w:w="1800"/>
            <w:shd w:fill="EEF4F8"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i w:val="0"/>
                <w:color w:val="183B56"/>
                <w:sz w:val="17"/>
              </w:rPr>
              <w:t>Record status</w:t>
            </w:r>
          </w:p>
        </w:tc>
        <w:tc>
          <w:tcPr>
            <w:tcW w:type="dxa" w:w="8208"/>
            <w:shd w:fill="FFFFFF" w:val="clear"/>
            <w:tcMar>
              <w:top w:w="62" w:type="dxa"/>
              <w:start w:w="100" w:type="dxa"/>
              <w:bottom w:w="62" w:type="dxa"/>
              <w:end w:w="100" w:type="dxa"/>
            </w:tcMar>
            <w:tcBorders>
              <w:top w:val="single" w:sz="4" w:color="D7E0E3"/>
              <w:left w:val="single" w:sz="4" w:color="D7E0E3"/>
              <w:bottom w:val="single" w:sz="4" w:color="D7E0E3"/>
              <w:right w:val="single" w:sz="4" w:color="D7E0E3"/>
            </w:tcBorders>
          </w:tcPr>
          <w:p>
            <w:pPr>
              <w:spacing w:after="0"/>
            </w:pPr>
            <w:r>
              <w:rPr>
                <w:rFonts w:ascii="Arial" w:hAnsi="Arial" w:eastAsia="Arial"/>
                <w:b w:val="0"/>
                <w:i w:val="0"/>
                <w:color w:val="1F2933"/>
                <w:sz w:val="17"/>
              </w:rPr>
              <w:t>Frozen factual record as at 30 September 2025; source bundle unavailable</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10008"/>
            <w:shd w:fill="EAF5F4" w:val="clear"/>
            <w:tcMar>
              <w:top w:w="135" w:type="dxa"/>
              <w:start w:w="175" w:type="dxa"/>
              <w:bottom w:w="135" w:type="dxa"/>
              <w:end w:w="175" w:type="dxa"/>
            </w:tcMar>
            <w:tcBorders>
              <w:top w:val="nil"/>
              <w:left w:val="single" w:sz="20" w:color="087F82"/>
              <w:bottom w:val="nil"/>
              <w:right w:val="nil"/>
            </w:tcBorders>
            <w:vAlign w:val="center"/>
          </w:tcPr>
          <w:p>
            <w:pPr>
              <w:keepNext/>
              <w:spacing w:after="60"/>
            </w:pPr>
            <w:r>
              <w:rPr>
                <w:rFonts w:ascii="Arial" w:hAnsi="Arial" w:eastAsia="Arial"/>
                <w:b/>
                <w:i w:val="0"/>
                <w:color w:val="087F82"/>
                <w:sz w:val="20"/>
              </w:rPr>
              <w:t>Committee readout</w:t>
            </w:r>
          </w:p>
          <w:p>
            <w:pPr>
              <w:pStyle w:val="BodyText"/>
              <w:spacing w:after="0"/>
            </w:pPr>
            <w:r>
              <w:rPr>
                <w:rFonts w:ascii="Arial" w:hAnsi="Arial" w:eastAsia="Arial"/>
                <w:b w:val="0"/>
                <w:i w:val="0"/>
              </w:rPr>
              <w:t>The decision is whether to adopt the draft communication as written before next month's rollout. It is under review because Genevieve Mbeki challenged a precise forecast that sits beside opposite regional movements and an unresolved definition of the measured event.</w:t>
            </w:r>
          </w:p>
        </w:tc>
      </w:tr>
    </w:tbl>
    <w:p>
      <w:pPr>
        <w:spacing w:after="0"/>
      </w:pPr>
    </w:p>
    <w:p>
      <w:pPr>
        <w:pStyle w:val="BodyText"/>
        <w:spacing w:after="120"/>
      </w:pPr>
      <w:r>
        <w:rPr>
          <w:rFonts w:ascii="Arial" w:hAnsi="Arial" w:eastAsia="Arial"/>
          <w:b/>
          <w:i w:val="0"/>
          <w:color w:val="183B56"/>
        </w:rPr>
        <w:t xml:space="preserve">England: </w:t>
      </w:r>
      <w:r>
        <w:rPr>
          <w:rFonts w:ascii="Arial" w:hAnsi="Arial" w:eastAsia="Arial"/>
          <w:b w:val="0"/>
          <w:i w:val="0"/>
        </w:rPr>
        <w:t xml:space="preserve">the observed median moved from 18 hours in January-June 2024 to 16 hours in January-June 2025, an improvement. </w:t>
      </w:r>
      <w:r>
        <w:rPr>
          <w:rFonts w:ascii="Arial" w:hAnsi="Arial" w:eastAsia="Arial"/>
          <w:b/>
          <w:i w:val="0"/>
          <w:color w:val="183B56"/>
        </w:rPr>
        <w:t xml:space="preserve">Scotland: </w:t>
      </w:r>
      <w:r>
        <w:rPr>
          <w:rFonts w:ascii="Arial" w:hAnsi="Arial" w:eastAsia="Arial"/>
          <w:b w:val="0"/>
          <w:i w:val="0"/>
        </w:rPr>
        <w:t>the observed median moved from 20 to 24 hours, a deterioration. The draft instead forecasts 90% compliance with a uniform 12-hour target in both territories, assuming staffing is unchanged. That forecast is not an observed result.</w:t>
      </w:r>
    </w:p>
    <w:tbl>
      <w:tblPr>
        <w:tblW w:type="auto" w:w="0"/>
        <w:jc w:val="center"/>
        <w:tblLayout w:type="fixed"/>
        <w:tblLook w:firstColumn="1" w:firstRow="1" w:lastColumn="0" w:lastRow="0" w:noHBand="0" w:noVBand="1" w:val="04A0"/>
      </w:tblPr>
      <w:tblGrid>
        <w:gridCol w:w="9835"/>
      </w:tblGrid>
      <w:tr>
        <w:tc>
          <w:tcPr>
            <w:tcW w:type="dxa" w:w="10008"/>
            <w:shd w:fill="FFF3E9" w:val="clear"/>
            <w:tcMar>
              <w:top w:w="135" w:type="dxa"/>
              <w:start w:w="175" w:type="dxa"/>
              <w:bottom w:w="135" w:type="dxa"/>
              <w:end w:w="175" w:type="dxa"/>
            </w:tcMar>
            <w:tcBorders>
              <w:top w:val="nil"/>
              <w:left w:val="single" w:sz="20" w:color="C56B32"/>
              <w:bottom w:val="nil"/>
              <w:right w:val="nil"/>
            </w:tcBorders>
            <w:vAlign w:val="center"/>
          </w:tcPr>
          <w:p>
            <w:pPr>
              <w:keepNext/>
              <w:spacing w:after="60"/>
            </w:pPr>
            <w:r>
              <w:rPr>
                <w:rFonts w:ascii="Arial" w:hAnsi="Arial" w:eastAsia="Arial"/>
                <w:b/>
                <w:i w:val="0"/>
                <w:color w:val="C56B32"/>
                <w:sz w:val="20"/>
              </w:rPr>
              <w:t>Read this boundary before relying on the jurisdictional analysis</w:t>
            </w:r>
          </w:p>
          <w:p>
            <w:pPr>
              <w:pStyle w:val="BodyText"/>
              <w:spacing w:after="0"/>
            </w:pPr>
            <w:r>
              <w:rPr>
                <w:rFonts w:ascii="Arial" w:hAnsi="Arial" w:eastAsia="Arial"/>
                <w:b w:val="0"/>
                <w:i w:val="0"/>
              </w:rPr>
              <w:t>This is journalistic and editorial analysis for a communication decision, not legal or compliance advice. The source bundle was unavailable, so the factual record is limited to the information in the brief and is frozen as at 30 September 2025. The missing regulatory snapshot and policy extracts prevent a definitive legal conclusion; no statement here establishes a UK-wide requirement.</w:t>
            </w:r>
          </w:p>
        </w:tc>
      </w:tr>
    </w:tbl>
    <w:p>
      <w:pPr>
        <w:spacing w:after="0"/>
      </w:pPr>
    </w:p>
    <w:p>
      <w:pPr>
        <w:pStyle w:val="Heading2"/>
        <w:keepNext/>
        <w:spacing w:before="80" w:after="80"/>
      </w:pPr>
      <w:r>
        <w:rPr>
          <w:rFonts w:ascii="Arial" w:hAnsi="Arial" w:eastAsia="Arial"/>
          <w:b/>
          <w:i w:val="0"/>
          <w:color w:val="183B56"/>
        </w:rPr>
        <w:t>What each audience needs</w:t>
      </w:r>
    </w:p>
    <w:p>
      <w:pPr>
        <w:pStyle w:val="BodyText"/>
        <w:spacing w:after="0"/>
      </w:pPr>
      <w:r>
        <w:rPr>
          <w:rFonts w:ascii="Arial" w:hAnsi="Arial" w:eastAsia="Arial"/>
          <w:b/>
          <w:i w:val="0"/>
        </w:rPr>
        <w:t xml:space="preserve">Operating committee: </w:t>
      </w:r>
      <w:r>
        <w:rPr>
          <w:rFonts w:ascii="Arial" w:hAnsi="Arial" w:eastAsia="Arial"/>
          <w:b w:val="0"/>
          <w:i w:val="0"/>
        </w:rPr>
        <w:t xml:space="preserve">a disciplined adoption decision, with the status of every figure visible. </w:t>
      </w:r>
      <w:r>
        <w:rPr>
          <w:rFonts w:ascii="Arial" w:hAnsi="Arial" w:eastAsia="Arial"/>
          <w:b/>
          <w:i w:val="0"/>
        </w:rPr>
        <w:t xml:space="preserve">Frontline communication leads: </w:t>
      </w:r>
      <w:r>
        <w:rPr>
          <w:rFonts w:ascii="Arial" w:hAnsi="Arial" w:eastAsia="Arial"/>
          <w:b w:val="0"/>
          <w:i w:val="0"/>
        </w:rPr>
        <w:t>plain wording that distinguishes acknowledgement from completion, keeps England and Scotland separate, and does not turn an internal forecast into a promise.</w:t>
      </w:r>
    </w:p>
    <w:p>
      <w:r>
        <w:br w:type="page"/>
      </w:r>
    </w:p>
    <w:p>
      <w:pPr>
        <w:keepNext/>
        <w:spacing w:before="0" w:after="60"/>
      </w:pPr>
      <w:r>
        <w:rPr>
          <w:rFonts w:ascii="Arial" w:hAnsi="Arial" w:eastAsia="Arial"/>
          <w:b/>
          <w:i w:val="0"/>
          <w:color w:val="087F82"/>
          <w:sz w:val="17"/>
        </w:rPr>
        <w:t>01  /  METRIC RECONCILIATION</w:t>
      </w:r>
    </w:p>
    <w:p>
      <w:pPr>
        <w:pStyle w:val="Heading1"/>
        <w:keepNext/>
        <w:spacing w:before="40" w:after="80"/>
      </w:pPr>
      <w:r>
        <w:rPr>
          <w:rFonts w:ascii="Arial" w:hAnsi="Arial" w:eastAsia="Arial"/>
          <w:b/>
          <w:i w:val="0"/>
          <w:color w:val="183B56"/>
        </w:rPr>
        <w:t>Define the event before comparing the hours</w:t>
      </w:r>
    </w:p>
    <w:p>
      <w:pPr>
        <w:pStyle w:val="BodyText"/>
        <w:spacing w:after="100"/>
      </w:pPr>
      <w:r>
        <w:rPr>
          <w:rFonts w:ascii="Arial" w:hAnsi="Arial" w:eastAsia="Arial"/>
          <w:b w:val="0"/>
          <w:i w:val="0"/>
        </w:rPr>
        <w:t>Working editorial definition: in this report, response time means the elapsed hours from a customer's first contact until the outcome is recorded or the case is closed. This is the principal comparison endpoint. It is a completion interval, not a first acknowledgement interval.</w:t>
      </w:r>
    </w:p>
    <w:p>
      <w:pPr>
        <w:pStyle w:val="BodyText"/>
        <w:spacing w:after="100"/>
      </w:pPr>
      <w:r>
        <w:rPr>
          <w:rFonts w:ascii="Arial" w:hAnsi="Arial" w:eastAsia="Arial"/>
          <w:b w:val="0"/>
          <w:i w:val="0"/>
        </w:rPr>
        <w:t>Acknowledgement is the first confirmation that contact was received. Resolution or closure is completion of the case, or the recorded outcome. They are separate events. The interview note says teams use response time for both, so the same label can describe different clocks.</w:t>
      </w:r>
    </w:p>
    <w:tbl>
      <w:tblPr>
        <w:tblW w:type="auto" w:w="0"/>
        <w:jc w:val="center"/>
        <w:tblLayout w:type="fixed"/>
        <w:tblLook w:firstColumn="1" w:firstRow="1" w:lastColumn="0" w:lastRow="0" w:noHBand="0" w:noVBand="1" w:val="04A0"/>
      </w:tblPr>
      <w:tblGrid>
        <w:gridCol w:w="9835"/>
      </w:tblGrid>
      <w:tr>
        <w:tc>
          <w:tcPr>
            <w:tcW w:type="dxa" w:w="10008"/>
            <w:shd w:fill="EEF4F8" w:val="clear"/>
            <w:tcMar>
              <w:top w:w="135" w:type="dxa"/>
              <w:start w:w="175" w:type="dxa"/>
              <w:bottom w:w="135" w:type="dxa"/>
              <w:end w:w="175" w:type="dxa"/>
            </w:tcMar>
            <w:tcBorders>
              <w:top w:val="nil"/>
              <w:left w:val="single" w:sz="20" w:color="183B56"/>
              <w:bottom w:val="nil"/>
              <w:right w:val="nil"/>
            </w:tcBorders>
            <w:vAlign w:val="center"/>
          </w:tcPr>
          <w:p>
            <w:pPr>
              <w:keepNext/>
              <w:spacing w:after="60"/>
            </w:pPr>
            <w:r>
              <w:rPr>
                <w:rFonts w:ascii="Arial" w:hAnsi="Arial" w:eastAsia="Arial"/>
                <w:b/>
                <w:i w:val="0"/>
                <w:color w:val="183B56"/>
                <w:sz w:val="20"/>
              </w:rPr>
              <w:t>Why the figures are called response-time proxies</w:t>
            </w:r>
          </w:p>
          <w:p>
            <w:pPr>
              <w:pStyle w:val="BodyText"/>
              <w:spacing w:after="0"/>
            </w:pPr>
            <w:r>
              <w:rPr>
                <w:rFonts w:ascii="Arial" w:hAnsi="Arial" w:eastAsia="Arial"/>
                <w:b w:val="0"/>
                <w:i w:val="0"/>
              </w:rPr>
              <w:t>One policy extract says acknowledgement; another says response. The England log records first customer contact, while the Scotland log records closure or recorded outcome. The brief describes medians from first contact to recorded outcome, but the unavailable source bundle cannot confirm that the log fields are like-for-like. The table therefore reports the supplied observations as response-time proxies, not as a validated common metric.</w:t>
            </w:r>
          </w:p>
        </w:tc>
      </w:tr>
    </w:tbl>
    <w:p>
      <w:pPr>
        <w:spacing w:after="0"/>
      </w:pPr>
    </w:p>
    <w:p>
      <w:pPr>
        <w:pStyle w:val="Heading2"/>
        <w:keepNext/>
        <w:spacing w:before="100" w:after="80"/>
      </w:pPr>
      <w:r>
        <w:rPr>
          <w:rFonts w:ascii="Arial" w:hAnsi="Arial" w:eastAsia="Arial"/>
          <w:b/>
          <w:i w:val="0"/>
          <w:color w:val="183B56"/>
        </w:rPr>
        <w:t>Observed complaint-log record</w:t>
      </w:r>
    </w:p>
    <w:tbl>
      <w:tblPr>
        <w:tblW w:type="auto" w:w="0"/>
        <w:jc w:val="center"/>
        <w:tblLayout w:type="fixed"/>
        <w:tblLook w:firstColumn="1" w:firstRow="1" w:lastColumn="0" w:lastRow="0" w:noHBand="0" w:noVBand="1" w:val="04A0"/>
      </w:tblPr>
      <w:tblGrid>
        <w:gridCol w:w="1639"/>
        <w:gridCol w:w="1639"/>
        <w:gridCol w:w="1639"/>
        <w:gridCol w:w="1639"/>
        <w:gridCol w:w="1639"/>
        <w:gridCol w:w="1639"/>
      </w:tblGrid>
      <w:tr>
        <w:trPr>
          <w:tblHeader w:val="true"/>
          <w:cantSplit/>
        </w:trPr>
        <w:tc>
          <w:tcPr>
            <w:tcW w:type="dxa" w:w="1037"/>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5"/>
              </w:rPr>
              <w:t>Territory</w:t>
            </w:r>
          </w:p>
        </w:tc>
        <w:tc>
          <w:tcPr>
            <w:tcW w:type="dxa" w:w="2563"/>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5"/>
              </w:rPr>
              <w:t>Log convention in frozen record</w:t>
            </w:r>
          </w:p>
        </w:tc>
        <w:tc>
          <w:tcPr>
            <w:tcW w:type="dxa" w:w="1555"/>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5"/>
              </w:rPr>
              <w:t>January-June 2024</w:t>
            </w:r>
          </w:p>
        </w:tc>
        <w:tc>
          <w:tcPr>
            <w:tcW w:type="dxa" w:w="1555"/>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5"/>
              </w:rPr>
              <w:t>January-June 2025</w:t>
            </w:r>
          </w:p>
        </w:tc>
        <w:tc>
          <w:tcPr>
            <w:tcW w:type="dxa" w:w="1181"/>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5"/>
              </w:rPr>
              <w:t>Movement</w:t>
            </w:r>
          </w:p>
        </w:tc>
        <w:tc>
          <w:tcPr>
            <w:tcW w:type="dxa" w:w="1901"/>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5"/>
              </w:rPr>
              <w:t>Evidence status</w:t>
            </w:r>
          </w:p>
        </w:tc>
      </w:tr>
      <w:tr>
        <w:trPr>
          <w:cantSplit/>
        </w:trPr>
        <w:tc>
          <w:tcPr>
            <w:tcW w:type="dxa" w:w="1037"/>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England</w:t>
            </w:r>
          </w:p>
        </w:tc>
        <w:tc>
          <w:tcPr>
            <w:tcW w:type="dxa" w:w="2563"/>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First customer contact is named in the log; endpoint needs confirmation</w:t>
            </w:r>
          </w:p>
        </w:tc>
        <w:tc>
          <w:tcPr>
            <w:tcW w:type="dxa" w:w="1555"/>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18 hours</w:t>
              <w:br/>
              <w:t>Observed median</w:t>
            </w:r>
          </w:p>
        </w:tc>
        <w:tc>
          <w:tcPr>
            <w:tcW w:type="dxa" w:w="1555"/>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16 hours</w:t>
              <w:br/>
              <w:t>Observed median</w:t>
            </w:r>
          </w:p>
        </w:tc>
        <w:tc>
          <w:tcPr>
            <w:tcW w:type="dxa" w:w="1181"/>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-2 hours</w:t>
              <w:br/>
              <w:t>Improving</w:t>
            </w:r>
          </w:p>
        </w:tc>
        <w:tc>
          <w:tcPr>
            <w:tcW w:type="dxa" w:w="1901"/>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Observed; not causal</w:t>
            </w:r>
          </w:p>
        </w:tc>
      </w:tr>
      <w:tr>
        <w:trPr>
          <w:cantSplit/>
        </w:trPr>
        <w:tc>
          <w:tcPr>
            <w:tcW w:type="dxa" w:w="1037"/>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Scotland</w:t>
            </w:r>
          </w:p>
        </w:tc>
        <w:tc>
          <w:tcPr>
            <w:tcW w:type="dxa" w:w="2563"/>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Closure / recorded outcome is named in the log</w:t>
            </w:r>
          </w:p>
        </w:tc>
        <w:tc>
          <w:tcPr>
            <w:tcW w:type="dxa" w:w="1555"/>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20 hours</w:t>
              <w:br/>
              <w:t>Observed median</w:t>
            </w:r>
          </w:p>
        </w:tc>
        <w:tc>
          <w:tcPr>
            <w:tcW w:type="dxa" w:w="1555"/>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24 hours</w:t>
              <w:br/>
              <w:t>Observed median</w:t>
            </w:r>
          </w:p>
        </w:tc>
        <w:tc>
          <w:tcPr>
            <w:tcW w:type="dxa" w:w="1181"/>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+4 hours</w:t>
              <w:br/>
              <w:t>Deteriorating</w:t>
            </w:r>
          </w:p>
        </w:tc>
        <w:tc>
          <w:tcPr>
            <w:tcW w:type="dxa" w:w="1901"/>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5"/>
              </w:rPr>
              <w:t>Observed; not causal</w:t>
            </w:r>
          </w:p>
        </w:tc>
      </w:tr>
    </w:tbl>
    <w:p>
      <w:pPr>
        <w:spacing w:after="0"/>
      </w:pPr>
    </w:p>
    <w:p>
      <w:pPr>
        <w:pStyle w:val="BodyText"/>
        <w:spacing w:after="100"/>
      </w:pPr>
      <w:r>
        <w:rPr>
          <w:rFonts w:ascii="Arial" w:hAnsi="Arial" w:eastAsia="Arial"/>
          <w:b w:val="0"/>
          <w:i w:val="0"/>
        </w:rPr>
        <w:t>The directions are opposite: England improves from 18 to 16 hours, while Scotland worsens from 20 to 24 hours. The movement is an observation across two periods, not proof that the proposed rules caused either change. The frozen record supplies no basis to attribute Scotland's deterioration to staffing, process, law, or any other cause.</w:t>
      </w:r>
    </w:p>
    <w:p>
      <w:pPr>
        <w:pStyle w:val="BodyText"/>
        <w:spacing w:after="0"/>
      </w:pPr>
      <w:r>
        <w:rPr>
          <w:rFonts w:ascii="Arial" w:hAnsi="Arial" w:eastAsia="Arial"/>
          <w:b w:val="0"/>
          <w:i w:val="0"/>
        </w:rPr>
        <w:t>A combined average would hide this split and is not used. England and Scotland remain separate analytical units wherever their underlying log conventions differ.</w:t>
      </w:r>
    </w:p>
    <w:p>
      <w:r>
        <w:br w:type="page"/>
      </w:r>
    </w:p>
    <w:p>
      <w:pPr>
        <w:keepNext/>
        <w:spacing w:before="0" w:after="60"/>
      </w:pPr>
      <w:r>
        <w:rPr>
          <w:rFonts w:ascii="Arial" w:hAnsi="Arial" w:eastAsia="Arial"/>
          <w:b/>
          <w:i w:val="0"/>
          <w:color w:val="087F82"/>
          <w:sz w:val="17"/>
        </w:rPr>
        <w:t>02  /  SCENARIO COMPARISON</w:t>
      </w:r>
    </w:p>
    <w:p>
      <w:pPr>
        <w:pStyle w:val="Heading1"/>
        <w:keepNext/>
        <w:spacing w:before="40" w:after="80"/>
      </w:pPr>
      <w:r>
        <w:rPr>
          <w:rFonts w:ascii="Arial" w:hAnsi="Arial" w:eastAsia="Arial"/>
          <w:b/>
          <w:i w:val="0"/>
          <w:color w:val="183B56"/>
        </w:rPr>
        <w:t>Separate the draft forecast from an evidence-based baseline</w:t>
      </w:r>
    </w:p>
    <w:p>
      <w:pPr>
        <w:pStyle w:val="BodyText"/>
        <w:spacing w:after="100"/>
      </w:pPr>
      <w:r>
        <w:rPr>
          <w:rFonts w:ascii="Arial" w:hAnsi="Arial" w:eastAsia="Arial"/>
          <w:b w:val="0"/>
          <w:i w:val="0"/>
        </w:rPr>
        <w:t>The draft-as-written scenario is a forecast supplied by the internal draft. The comparison scenario is a transparent conditional projection from the latest observed medians. Neither scenario repairs the missing metric definition; their different evidence status must remain visible.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trPr>
        <w:tc>
          <w:tcPr>
            <w:tcW w:type="dxa" w:w="1469"/>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6"/>
              </w:rPr>
              <w:t>Dimension</w:t>
            </w:r>
          </w:p>
        </w:tc>
        <w:tc>
          <w:tcPr>
            <w:tcW w:type="dxa" w:w="4104"/>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6"/>
              </w:rPr>
              <w:t>A. Draft-as-written</w:t>
              <w:br/>
              <w:t>Forecast</w:t>
            </w:r>
          </w:p>
        </w:tc>
        <w:tc>
          <w:tcPr>
            <w:tcW w:type="dxa" w:w="4104"/>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6"/>
              </w:rPr>
              <w:t>B. Evidence-based comparison</w:t>
              <w:br/>
              <w:t>Conditional projection</w:t>
            </w:r>
          </w:p>
        </w:tc>
      </w:tr>
      <w:tr>
        <w:trPr>
          <w:cantSplit/>
        </w:trPr>
        <w:tc>
          <w:tcPr>
            <w:tcW w:type="dxa" w:w="1469"/>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Target</w:t>
            </w:r>
          </w:p>
        </w:tc>
        <w:tc>
          <w:tcPr>
            <w:tcW w:type="dxa" w:w="4104"/>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Uniform 12-hour target</w:t>
              <w:br/>
              <w:t>Metric meaning unspecified</w:t>
            </w:r>
          </w:p>
        </w:tc>
        <w:tc>
          <w:tcPr>
            <w:tcW w:type="dxa" w:w="4104"/>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No new target asserted</w:t>
              <w:br/>
              <w:t>Use the defined response-time proxy</w:t>
            </w:r>
          </w:p>
        </w:tc>
      </w:tr>
      <w:tr>
        <w:trPr>
          <w:cantSplit/>
        </w:trPr>
        <w:tc>
          <w:tcPr>
            <w:tcW w:type="dxa" w:w="1469"/>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England</w:t>
            </w:r>
          </w:p>
        </w:tc>
        <w:tc>
          <w:tcPr>
            <w:tcW w:type="dxa" w:w="4104"/>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90% compliance forecast</w:t>
              <w:br/>
              <w:t>Staffing unchanged</w:t>
            </w:r>
          </w:p>
        </w:tc>
        <w:tc>
          <w:tcPr>
            <w:tcW w:type="dxa" w:w="4104"/>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16-hour latest observed median used as a conditional baseline</w:t>
              <w:br/>
              <w:t>12-hour compliance percentage unknown</w:t>
            </w:r>
          </w:p>
        </w:tc>
      </w:tr>
      <w:tr>
        <w:trPr>
          <w:cantSplit/>
        </w:trPr>
        <w:tc>
          <w:tcPr>
            <w:tcW w:type="dxa" w:w="1469"/>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Scotland</w:t>
            </w:r>
          </w:p>
        </w:tc>
        <w:tc>
          <w:tcPr>
            <w:tcW w:type="dxa" w:w="4104"/>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90% compliance forecast</w:t>
              <w:br/>
              <w:t>Staffing unchanged</w:t>
            </w:r>
          </w:p>
        </w:tc>
        <w:tc>
          <w:tcPr>
            <w:tcW w:type="dxa" w:w="4104"/>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24-hour latest observed median used as a conditional baseline</w:t>
              <w:br/>
              <w:t>12-hour compliance percentage unknown</w:t>
            </w:r>
          </w:p>
        </w:tc>
      </w:tr>
      <w:tr>
        <w:trPr>
          <w:cantSplit/>
        </w:trPr>
        <w:tc>
          <w:tcPr>
            <w:tcW w:type="dxa" w:w="1469"/>
            <w:shd w:fill="EAF5F4"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Status</w:t>
            </w:r>
          </w:p>
        </w:tc>
        <w:tc>
          <w:tcPr>
            <w:tcW w:type="dxa" w:w="4104"/>
            <w:shd w:fill="EAF5F4"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Draft forecast for both territories; not an observation and not a statute</w:t>
            </w:r>
          </w:p>
        </w:tc>
        <w:tc>
          <w:tcPr>
            <w:tcW w:type="dxa" w:w="4104"/>
            <w:shd w:fill="EAF5F4"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6"/>
              </w:rPr>
              <w:t>Evidence-based comparison projection; not a compliance forecast</w:t>
            </w:r>
          </w:p>
        </w:tc>
      </w:tr>
    </w:tbl>
    <w:p>
      <w:pPr>
        <w:spacing w:after="0"/>
      </w:pPr>
    </w:p>
    <w:p>
      <w:pPr>
        <w:pStyle w:val="Heading2"/>
        <w:keepNext/>
        <w:spacing w:before="80" w:after="80"/>
      </w:pPr>
      <w:r>
        <w:rPr>
          <w:rFonts w:ascii="Arial" w:hAnsi="Arial" w:eastAsia="Arial"/>
          <w:b/>
          <w:i w:val="0"/>
          <w:color w:val="183B56"/>
        </w:rPr>
        <w:t>How to read the comparison</w:t>
      </w:r>
    </w:p>
    <w:p>
      <w:pPr>
        <w:pStyle w:val="BodyText"/>
        <w:spacing w:after="100"/>
      </w:pPr>
      <w:r>
        <w:rPr>
          <w:rFonts w:ascii="Arial" w:hAnsi="Arial" w:eastAsia="Arial"/>
          <w:b w:val="0"/>
          <w:i w:val="0"/>
        </w:rPr>
        <w:t>Under the draft's 12-hour target, the latest observed median sits 4 hours above target in England (16 minus 12) and 12 hours above target in Scotland (24 minus 12). These are median gaps, not compliance rates. The brief provides no distribution, denominator, or confirmed common endpoint from which to derive a percentage.</w:t>
      </w:r>
    </w:p>
    <w:p>
      <w:pPr>
        <w:pStyle w:val="BodyText"/>
        <w:spacing w:after="100"/>
      </w:pPr>
      <w:r>
        <w:rPr>
          <w:rFonts w:ascii="Arial" w:hAnsi="Arial" w:eastAsia="Arial"/>
          <w:b w:val="0"/>
          <w:i w:val="0"/>
        </w:rPr>
        <w:t>Scenario B therefore projects only the central interval that would be seen if near-term conditions resembled January-June 2025: 16 hours in England and 24 hours in Scotland. It does not claim that either median will persist, and it leaves the 12-hour compliance percentage unknown. This is the most that the supplied observations can support without inventing operational data.</w:t>
      </w:r>
    </w:p>
    <w:tbl>
      <w:tblPr>
        <w:tblW w:type="auto" w:w="0"/>
        <w:jc w:val="center"/>
        <w:tblLayout w:type="fixed"/>
        <w:tblLook w:firstColumn="1" w:firstRow="1" w:lastColumn="0" w:lastRow="0" w:noHBand="0" w:noVBand="1" w:val="04A0"/>
      </w:tblPr>
      <w:tblGrid>
        <w:gridCol w:w="9835"/>
      </w:tblGrid>
      <w:tr>
        <w:tc>
          <w:tcPr>
            <w:tcW w:type="dxa" w:w="10008"/>
            <w:shd w:fill="EAF5F4" w:val="clear"/>
            <w:tcMar>
              <w:top w:w="135" w:type="dxa"/>
              <w:start w:w="175" w:type="dxa"/>
              <w:bottom w:w="135" w:type="dxa"/>
              <w:end w:w="175" w:type="dxa"/>
            </w:tcMar>
            <w:tcBorders>
              <w:top w:val="nil"/>
              <w:left w:val="single" w:sz="20" w:color="087F82"/>
              <w:bottom w:val="nil"/>
              <w:right w:val="nil"/>
            </w:tcBorders>
            <w:vAlign w:val="center"/>
          </w:tcPr>
          <w:p>
            <w:pPr>
              <w:keepNext/>
              <w:spacing w:after="60"/>
            </w:pPr>
            <w:r>
              <w:rPr>
                <w:rFonts w:ascii="Arial" w:hAnsi="Arial" w:eastAsia="Arial"/>
                <w:b/>
                <w:i w:val="0"/>
                <w:color w:val="087F82"/>
                <w:sz w:val="20"/>
              </w:rPr>
              <w:t>Assumptions made visible</w:t>
            </w:r>
          </w:p>
          <w:p>
            <w:pPr>
              <w:pStyle w:val="BodyText"/>
              <w:spacing w:after="0"/>
            </w:pPr>
            <w:r>
              <w:rPr>
                <w:rFonts w:ascii="Arial" w:hAnsi="Arial" w:eastAsia="Arial"/>
                <w:b w:val="0"/>
                <w:i w:val="0"/>
              </w:rPr>
              <w:t>Scenario A assumes one endpoint, one rule, both territories, and unchanged staffing. Scenario B assumes the latest regional medians are usable as comparison baselines only; it assumes no causal effect, no staffing change, and no unprovided compliance percentage. Both assumptions remain provisional.</w:t>
            </w:r>
          </w:p>
        </w:tc>
      </w:tr>
    </w:tbl>
    <w:p>
      <w:pPr>
        <w:spacing w:after="0"/>
      </w:pPr>
    </w:p>
    <w:p>
      <w:pPr>
        <w:pStyle w:val="BodyText"/>
        <w:spacing w:after="0"/>
      </w:pPr>
      <w:r>
        <w:rPr>
          <w:rFonts w:ascii="Arial" w:hAnsi="Arial" w:eastAsia="Arial"/>
          <w:b w:val="0"/>
          <w:i w:val="0"/>
        </w:rPr>
        <w:t>Genevieve Mbeki's challenge is therefore an evidentiary concern, not a disagreement over presentation style: the draft gives a single precise forecast where the record shows divergent movement and an unresolved clock.</w:t>
      </w:r>
    </w:p>
    <w:p>
      <w:r>
        <w:br w:type="page"/>
      </w:r>
    </w:p>
    <w:p>
      <w:pPr>
        <w:keepNext/>
        <w:spacing w:before="0" w:after="60"/>
      </w:pPr>
      <w:r>
        <w:rPr>
          <w:rFonts w:ascii="Arial" w:hAnsi="Arial" w:eastAsia="Arial"/>
          <w:b/>
          <w:i w:val="0"/>
          <w:color w:val="087F82"/>
          <w:sz w:val="17"/>
        </w:rPr>
        <w:t>03  /  INTERPRETATION AND LIMITS</w:t>
      </w:r>
    </w:p>
    <w:p>
      <w:pPr>
        <w:pStyle w:val="Heading1"/>
        <w:keepNext/>
        <w:spacing w:before="40" w:after="80"/>
      </w:pPr>
      <w:r>
        <w:rPr>
          <w:rFonts w:ascii="Arial" w:hAnsi="Arial" w:eastAsia="Arial"/>
          <w:b/>
          <w:i w:val="0"/>
          <w:color w:val="183B56"/>
        </w:rPr>
        <w:t>Where the one-clear-rule-everywhere assumption breaks down</w:t>
      </w:r>
    </w:p>
    <w:p>
      <w:pPr>
        <w:pStyle w:val="BodyText"/>
        <w:spacing w:after="100"/>
      </w:pPr>
      <w:r>
        <w:rPr>
          <w:rFonts w:ascii="Arial" w:hAnsi="Arial" w:eastAsia="Arial"/>
          <w:b w:val="0"/>
          <w:i w:val="0"/>
        </w:rPr>
        <w:t>The observed England-Scotland difference may partly be terminology or measurement: the extracts use acknowledgement and response inconsistently, the logs name different events, and teams use response time for both first acknowledgement and full resolution. It may also reflect a genuine difference in applicable requirements. The frozen record does not establish which explanation is correct.</w:t>
      </w:r>
    </w:p>
    <w:p>
      <w:pPr>
        <w:pStyle w:val="BodyText"/>
        <w:spacing w:after="100"/>
      </w:pPr>
      <w:r>
        <w:rPr>
          <w:rFonts w:ascii="Arial" w:hAnsi="Arial" w:eastAsia="Arial"/>
          <w:b w:val="0"/>
          <w:i w:val="0"/>
        </w:rPr>
        <w:t>Do not infer that one England rule automatically applies across the whole of the UK. The unavailable regulatory snapshot and policy extracts mean this report cannot distinguish a genuine jurisdiction-sensitive requirement from an unresolved evidence gap. Every jurisdiction-sensitive statement here is bounded by the frozen record or marked for verification; no legal threshold has been invented.</w:t>
      </w:r>
    </w:p>
    <w:p>
      <w:pPr>
        <w:pStyle w:val="Heading2"/>
        <w:keepNext/>
        <w:spacing w:before="100" w:after="80"/>
      </w:pPr>
      <w:r>
        <w:rPr>
          <w:rFonts w:ascii="Arial" w:hAnsi="Arial" w:eastAsia="Arial"/>
          <w:b/>
          <w:i w:val="0"/>
          <w:color w:val="183B56"/>
        </w:rPr>
        <w:t>Evidence status: what is known and what remains open</w:t>
      </w:r>
    </w:p>
    <w:tbl>
      <w:tblPr>
        <w:tblW w:type="auto" w:w="0"/>
        <w:jc w:val="center"/>
        <w:tblLayout w:type="fixed"/>
        <w:tblLook w:firstColumn="1" w:firstRow="1" w:lastColumn="0" w:lastRow="0" w:noHBand="0" w:noVBand="1" w:val="04A0"/>
      </w:tblPr>
      <w:tblGrid>
        <w:gridCol w:w="4917"/>
        <w:gridCol w:w="4917"/>
      </w:tblGrid>
      <w:tr>
        <w:trPr>
          <w:tblHeader w:val="true"/>
          <w:cantSplit/>
        </w:trPr>
        <w:tc>
          <w:tcPr>
            <w:tcW w:type="dxa" w:w="1800"/>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7"/>
              </w:rPr>
              <w:t>Status</w:t>
            </w:r>
          </w:p>
        </w:tc>
        <w:tc>
          <w:tcPr>
            <w:tcW w:type="dxa" w:w="7920"/>
            <w:shd w:fill="183B56" w:val="clear"/>
            <w:tcMar>
              <w:top w:w="90" w:type="dxa"/>
              <w:start w:w="90" w:type="dxa"/>
              <w:bottom w:w="90" w:type="dxa"/>
              <w:end w:w="90" w:type="dxa"/>
            </w:tcMar>
            <w:tcBorders>
              <w:top w:val="single" w:sz="4" w:color="183B56"/>
              <w:left w:val="single" w:sz="4" w:color="183B56"/>
              <w:bottom w:val="single" w:sz="4" w:color="183B56"/>
              <w:right w:val="single" w:sz="4" w:color="183B56"/>
            </w:tcBorders>
            <w:vAlign w:val="center"/>
          </w:tcPr>
          <w:p>
            <w:pPr>
              <w:spacing w:after="0"/>
            </w:pPr>
            <w:r>
              <w:rPr>
                <w:rFonts w:ascii="Arial" w:hAnsi="Arial" w:eastAsia="Arial"/>
                <w:b/>
                <w:i w:val="0"/>
                <w:color w:val="FFFFFF"/>
                <w:sz w:val="17"/>
              </w:rPr>
              <w:t>Statement in this report</w:t>
            </w:r>
          </w:p>
        </w:tc>
      </w:tr>
      <w:tr>
        <w:trPr>
          <w:cantSplit/>
        </w:trPr>
        <w:tc>
          <w:tcPr>
            <w:tcW w:type="dxa" w:w="1800"/>
            <w:shd w:fill="EEF4F8"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Observed facts</w:t>
            </w:r>
          </w:p>
        </w:tc>
        <w:tc>
          <w:tcPr>
            <w:tcW w:type="dxa" w:w="7920"/>
            <w:shd w:fill="EEF4F8"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The four regional medians and their movements; the labels and log conventions described in the brief.</w:t>
            </w:r>
          </w:p>
        </w:tc>
      </w:tr>
      <w:tr>
        <w:trPr>
          <w:cantSplit/>
        </w:trPr>
        <w:tc>
          <w:tcPr>
            <w:tcW w:type="dxa" w:w="1800"/>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Draft forecast</w:t>
            </w:r>
          </w:p>
        </w:tc>
        <w:tc>
          <w:tcPr>
            <w:tcW w:type="dxa" w:w="7920"/>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A 12-hour uniform target and 90% compliance forecast for England and Scotland.</w:t>
            </w:r>
          </w:p>
        </w:tc>
      </w:tr>
      <w:tr>
        <w:trPr>
          <w:cantSplit/>
        </w:trPr>
        <w:tc>
          <w:tcPr>
            <w:tcW w:type="dxa" w:w="1800"/>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Assumption</w:t>
            </w:r>
          </w:p>
        </w:tc>
        <w:tc>
          <w:tcPr>
            <w:tcW w:type="dxa" w:w="7920"/>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The draft keeps staffing unchanged; Scenario B uses the latest regional median as a comparison proxy only.</w:t>
            </w:r>
          </w:p>
        </w:tc>
      </w:tr>
      <w:tr>
        <w:trPr>
          <w:cantSplit/>
        </w:trPr>
        <w:tc>
          <w:tcPr>
            <w:tcW w:type="dxa" w:w="1800"/>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Editorial interpretation</w:t>
            </w:r>
          </w:p>
        </w:tc>
        <w:tc>
          <w:tcPr>
            <w:tcW w:type="dxa" w:w="7920"/>
            <w:shd w:fill="FFFFFF"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Opposite regional movement plus a disputed endpoint makes the uniform message unsafe to adopt as written.</w:t>
            </w:r>
          </w:p>
        </w:tc>
      </w:tr>
      <w:tr>
        <w:trPr>
          <w:cantSplit/>
        </w:trPr>
        <w:tc>
          <w:tcPr>
            <w:tcW w:type="dxa" w:w="1800"/>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Unknowns</w:t>
            </w:r>
          </w:p>
        </w:tc>
        <w:tc>
          <w:tcPr>
            <w:tcW w:type="dxa" w:w="7920"/>
            <w:shd w:fill="FFF3E9" w:val="clear"/>
            <w:tcMar>
              <w:top w:w="75" w:type="dxa"/>
              <w:start w:w="90" w:type="dxa"/>
              <w:bottom w:w="75" w:type="dxa"/>
              <w:end w:w="90" w:type="dxa"/>
            </w:tcMar>
            <w:tcBorders>
              <w:top w:val="single" w:sz="4" w:color="D7E0E3"/>
              <w:left w:val="single" w:sz="4" w:color="D7E0E3"/>
              <w:bottom w:val="single" w:sz="4" w:color="D7E0E3"/>
              <w:right w:val="single" w:sz="4" w:color="D7E0E3"/>
            </w:tcBorders>
            <w:vAlign w:val="center"/>
          </w:tcPr>
          <w:p>
            <w:pPr>
              <w:spacing w:after="0" w:line="240" w:lineRule="auto"/>
            </w:pPr>
            <w:r>
              <w:rPr>
                <w:rFonts w:ascii="Arial" w:hAnsi="Arial" w:eastAsia="Arial"/>
                <w:b w:val="0"/>
                <w:i w:val="0"/>
                <w:color w:val="1F2933"/>
                <w:sz w:val="17"/>
              </w:rPr>
              <w:t>The legal or regulatory requirement, the common endpoint, the denominator behind the forecast, the cause of Scotland's movement, and whether the logs are comparable.</w:t>
            </w:r>
          </w:p>
        </w:tc>
      </w:tr>
    </w:tbl>
    <w:p>
      <w:pPr>
        <w:spacing w:after="0"/>
      </w:pPr>
    </w:p>
    <w:tbl>
      <w:tblPr>
        <w:tblW w:type="auto" w:w="0"/>
        <w:jc w:val="center"/>
        <w:tblLayout w:type="fixed"/>
        <w:tblLook w:firstColumn="1" w:firstRow="1" w:lastColumn="0" w:lastRow="0" w:noHBand="0" w:noVBand="1" w:val="04A0"/>
      </w:tblPr>
      <w:tblGrid>
        <w:gridCol w:w="9835"/>
      </w:tblGrid>
      <w:tr>
        <w:tc>
          <w:tcPr>
            <w:tcW w:type="dxa" w:w="10008"/>
            <w:shd w:fill="FFF3E9" w:val="clear"/>
            <w:tcMar>
              <w:top w:w="135" w:type="dxa"/>
              <w:start w:w="175" w:type="dxa"/>
              <w:bottom w:w="135" w:type="dxa"/>
              <w:end w:w="175" w:type="dxa"/>
            </w:tcMar>
            <w:tcBorders>
              <w:top w:val="nil"/>
              <w:left w:val="single" w:sz="20" w:color="C56B32"/>
              <w:bottom w:val="nil"/>
              <w:right w:val="nil"/>
            </w:tcBorders>
            <w:vAlign w:val="center"/>
          </w:tcPr>
          <w:p>
            <w:pPr>
              <w:keepNext/>
              <w:spacing w:after="60"/>
            </w:pPr>
            <w:r>
              <w:rPr>
                <w:rFonts w:ascii="Arial" w:hAnsi="Arial" w:eastAsia="Arial"/>
                <w:b/>
                <w:i w:val="0"/>
                <w:color w:val="C56B32"/>
                <w:sz w:val="20"/>
              </w:rPr>
              <w:t>Stop the 12-hour misuse</w:t>
            </w:r>
          </w:p>
          <w:p>
            <w:pPr>
              <w:pStyle w:val="BodyText"/>
              <w:spacing w:after="0"/>
            </w:pPr>
            <w:r>
              <w:rPr>
                <w:rFonts w:ascii="Arial" w:hAnsi="Arial" w:eastAsia="Arial"/>
                <w:b w:val="0"/>
                <w:i w:val="0"/>
              </w:rPr>
              <w:t>Managers have been repeating the 12-hour forecast as though it were a statutory deadline. Do not repeat or present it that way. It is the draft's internal target and forecast under unchanged staffing; that label alone does not establish a legal deadline, and meeting it would not prove regulatory compliance.</w:t>
            </w:r>
          </w:p>
        </w:tc>
      </w:tr>
    </w:tbl>
    <w:p>
      <w:pPr>
        <w:spacing w:after="0"/>
      </w:pPr>
    </w:p>
    <w:p>
      <w:pPr>
        <w:pStyle w:val="BodyText"/>
        <w:spacing w:after="0"/>
      </w:pPr>
      <w:r>
        <w:rPr>
          <w:rFonts w:ascii="Arial" w:hAnsi="Arial" w:eastAsia="Arial"/>
          <w:b w:val="0"/>
          <w:i w:val="0"/>
        </w:rPr>
        <w:t>This report can assess whether the communication is editorially ready. It cannot resolve the legal or compliance status of the proposed rule, and it does not treat the absence of a supplied regulatory source as evidence that no requirement exists.</w:t>
      </w:r>
    </w:p>
    <w:p>
      <w:r>
        <w:br w:type="page"/>
      </w:r>
    </w:p>
    <w:p>
      <w:pPr>
        <w:keepNext/>
        <w:spacing w:before="0" w:after="60"/>
      </w:pPr>
      <w:r>
        <w:rPr>
          <w:rFonts w:ascii="Arial" w:hAnsi="Arial" w:eastAsia="Arial"/>
          <w:b/>
          <w:i w:val="0"/>
          <w:color w:val="087F82"/>
          <w:sz w:val="17"/>
        </w:rPr>
        <w:t>04  /  FRONTLINE WORDING</w:t>
      </w:r>
    </w:p>
    <w:p>
      <w:pPr>
        <w:pStyle w:val="Heading1"/>
        <w:keepNext/>
        <w:spacing w:before="40" w:after="80"/>
      </w:pPr>
      <w:r>
        <w:rPr>
          <w:rFonts w:ascii="Arial" w:hAnsi="Arial" w:eastAsia="Arial"/>
          <w:b/>
          <w:i w:val="0"/>
          <w:color w:val="183B56"/>
        </w:rPr>
        <w:t>A safe message for next month's rollout</w:t>
      </w:r>
    </w:p>
    <w:tbl>
      <w:tblPr>
        <w:tblW w:type="auto" w:w="0"/>
        <w:jc w:val="center"/>
        <w:tblLayout w:type="fixed"/>
        <w:tblLook w:firstColumn="1" w:firstRow="1" w:lastColumn="0" w:lastRow="0" w:noHBand="0" w:noVBand="1" w:val="04A0"/>
      </w:tblPr>
      <w:tblGrid>
        <w:gridCol w:w="9835"/>
      </w:tblGrid>
      <w:tr>
        <w:tc>
          <w:tcPr>
            <w:tcW w:type="dxa" w:w="10008"/>
            <w:shd w:fill="EAF5F4" w:val="clear"/>
            <w:tcMar>
              <w:top w:w="135" w:type="dxa"/>
              <w:start w:w="175" w:type="dxa"/>
              <w:bottom w:w="135" w:type="dxa"/>
              <w:end w:w="175" w:type="dxa"/>
            </w:tcMar>
            <w:tcBorders>
              <w:top w:val="nil"/>
              <w:left w:val="single" w:sz="20" w:color="087F82"/>
              <w:bottom w:val="nil"/>
              <w:right w:val="nil"/>
            </w:tcBorders>
            <w:vAlign w:val="center"/>
          </w:tcPr>
          <w:p>
            <w:pPr>
              <w:keepNext/>
              <w:spacing w:after="60"/>
            </w:pPr>
            <w:r>
              <w:rPr>
                <w:rFonts w:ascii="Arial" w:hAnsi="Arial" w:eastAsia="Arial"/>
                <w:b/>
                <w:i w:val="0"/>
                <w:color w:val="087F82"/>
                <w:sz w:val="20"/>
              </w:rPr>
              <w:t>Frontline-ready communication | use without translating the analyst's terms</w:t>
            </w:r>
          </w:p>
          <w:p>
            <w:pPr>
              <w:pStyle w:val="BodyText"/>
              <w:spacing w:after="0"/>
            </w:pPr>
            <w:r>
              <w:rPr>
                <w:rFonts w:ascii="Arial" w:hAnsi="Arial" w:eastAsia="Arial"/>
                <w:b w:val="0"/>
                <w:i w:val="0"/>
              </w:rPr>
              <w:t>For customers of Overbrook Laboratories and Duncastle Mutual, use the territory-specific rollout wording. In this report, response time means the hours from a customer's first contact until the outcome is recorded or the case is closed. An acknowledgement is only the first confirmation that contact was received; it is not the same as resolution. The draft's 12-hour figure is an internal planning target and forecast, not a statutory deadline. Do not describe it as a legal deadline, promise 12 hours, or merge England and Scotland into one unqualified rule. Questions about legal requirements need the approved jurisdiction-specific answer; this report is editorial analysis, not legal or compliance advice.</w:t>
            </w:r>
          </w:p>
        </w:tc>
      </w:tr>
    </w:tbl>
    <w:p>
      <w:pPr>
        <w:spacing w:after="0"/>
      </w:pPr>
    </w:p>
    <w:p>
      <w:pPr>
        <w:pStyle w:val="Heading2"/>
        <w:keepNext/>
        <w:spacing w:before="160" w:after="80"/>
      </w:pPr>
      <w:r>
        <w:rPr>
          <w:rFonts w:ascii="Arial" w:hAnsi="Arial" w:eastAsia="Arial"/>
          <w:b/>
          <w:i w:val="0"/>
          <w:color w:val="183B56"/>
        </w:rPr>
        <w:t>Decision test</w:t>
      </w:r>
    </w:p>
    <w:p>
      <w:pPr>
        <w:pStyle w:val="BodyText"/>
        <w:spacing w:after="100"/>
      </w:pPr>
      <w:r>
        <w:rPr>
          <w:rFonts w:ascii="Arial" w:hAnsi="Arial" w:eastAsia="Arial"/>
          <w:b w:val="0"/>
          <w:i w:val="0"/>
        </w:rPr>
        <w:t>A communication adopted as written would transmit a uniform 12-hour and 90% claim even though England and Scotland move in opposite directions, the logs do not establish a common response-time endpoint, and the percentage is a forecast rather than observed compliance. It would also leave the existing statutory-deadline misuse intact. The frontline wording above keeps the metric, territory, and legal boundary explicit.</w:t>
      </w:r>
    </w:p>
    <w:p>
      <w:pPr>
        <w:pStyle w:val="Heading1"/>
        <w:keepNext/>
        <w:spacing w:before="240" w:after="100"/>
      </w:pPr>
      <w:r>
        <w:rPr>
          <w:rFonts w:ascii="Arial" w:hAnsi="Arial" w:eastAsia="Arial"/>
          <w:b/>
          <w:i w:val="0"/>
          <w:color w:val="C56B32"/>
        </w:rPr>
        <w:t>Recommendation</w:t>
      </w:r>
    </w:p>
    <w:p>
      <w:pPr>
        <w:keepLines/>
        <w:spacing w:after="0"/>
      </w:pPr>
      <w:r>
        <w:rPr>
          <w:rFonts w:ascii="Arial" w:hAnsi="Arial" w:eastAsia="Arial"/>
          <w:b/>
          <w:i w:val="0"/>
          <w:color w:val="183B56"/>
          <w:sz w:val="20"/>
        </w:rPr>
        <w:t>Do not adopt the draft communication as written. Revise it before adoption because England's observed median improved from 18 to 16 hours while Scotland's worsened from 20 to 24 hours, the logs do not establish a common response-time endpoint, and the 90% figure is a forecast under unchanged staffing rather than evidence of a statutory deadline. This is an editorial communication decision; it does not determine legal or compliance status.</w:t>
      </w:r>
    </w:p>
    <w:sectPr w:rsidR="00FC693F" w:rsidRPr="0006063C" w:rsidSect="00034616">
      <w:headerReference w:type="default" r:id="rId9"/>
      <w:footerReference w:type="default" r:id="rId10"/>
      <w:pgSz w:w="11909" w:h="16834"/>
      <w:pgMar w:top="893"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Arial" w:hAnsi="Arial" w:eastAsia="Arial"/>
        <w:b w:val="0"/>
        <w:i w:val="0"/>
        <w:color w:val="5B6870"/>
        <w:sz w:val="14"/>
      </w:rPr>
      <w:t>Frozen record: 30 September 2025  |  Internal communication use</w:t>
    </w:r>
    <w:r>
      <w:rPr>
        <w:rFonts w:ascii="Arial" w:hAnsi="Arial" w:eastAsia="Arial"/>
        <w:b w:val="0"/>
        <w:i w:val="0"/>
        <w:color w:val="5B6870"/>
        <w:sz w:val="14"/>
      </w:rPr>
      <w:t xml:space="preserve">                                            </w:t>
    </w:r>
    <w:r>
      <w:rPr>
        <w:rFonts w:ascii="Arial" w:hAnsi="Arial" w:eastAsia="Arial"/>
        <w:b w:val="0"/>
        <w:i w:val="0"/>
        <w:color w:val="5B6870"/>
        <w:sz w:val="14"/>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5" w:space="3" w:color="D7E0E3"/>
      </w:pBdr>
    </w:pPr>
    <w:r>
      <w:rPr>
        <w:rFonts w:ascii="Arial" w:hAnsi="Arial" w:eastAsia="Arial"/>
        <w:b/>
        <w:i w:val="0"/>
        <w:color w:val="5B6870"/>
        <w:sz w:val="14"/>
      </w:rPr>
      <w:t>AMBERGATE SERVICES  /  EDITORIAL WORKING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eastAsia="Arial"/>
      <w:b/>
      <w:bCs/>
      <w:color w:val="183B56"/>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087F82"/>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83B5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olor w:val="1F2933"/>
      <w:sz w:val="18"/>
    </w:rPr>
  </w:style>
  <w:style w:type="paragraph" w:styleId="BodyText">
    <w:name w:val="Body Text"/>
    <w:basedOn w:val="Normal"/>
    <w:link w:val="BodyTextChar"/>
    <w:uiPriority w:val="99"/>
    <w:unhideWhenUsed/>
    <w:rsid w:val="00AA1D8D"/>
    <w:pPr>
      <w:spacing w:after="100" w:line="259" w:lineRule="auto"/>
    </w:pPr>
    <w:rPr>
      <w:rFonts w:ascii="Arial" w:hAnsi="Arial" w:eastAsia="Arial"/>
      <w:color w:val="1F293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1F2933"/>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Policy-Impact Report</dc:title>
  <dc:subject>Customer-notification communication decision</dc:subject>
  <dc:creator>Selma Novotny</dc:creator>
  <cp:keywords>policy impact, England, Scotland, customer notification, editorial analysis</cp:keywords>
  <dc:description>generated by python-docx</dc:description>
  <cp:lastModifiedBy/>
  <cp:revision>1</cp:revision>
  <dcterms:created xsi:type="dcterms:W3CDTF">2013-12-23T23:15:00Z</dcterms:created>
  <dcterms:modified xsi:type="dcterms:W3CDTF">2013-12-23T23:15:00Z</dcterms:modified>
  <cp:category/>
</cp:coreProperties>
</file>