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4E79"/>
          <w:sz w:val="36"/>
        </w:rPr>
        <w:t>Controlled workbook requirements</w:t>
      </w:r>
    </w:p>
    <w:p>
      <w:r>
        <w:rPr>
          <w:i/>
          <w:color w:val="5B6573"/>
        </w:rPr>
        <w:t>Lampwick Instruments | Production Engineering | Issue CWR-2025-10-27 | controlled local convention</w:t>
      </w:r>
    </w:p>
    <w:p>
      <w:pPr>
        <w:spacing w:before="140"/>
      </w:pPr>
      <w:r>
        <w:rPr>
          <w:b/>
          <w:color w:val="1F4E79"/>
          <w:sz w:val="22"/>
        </w:rPr>
        <w:t>1. Package and print use</w:t>
      </w:r>
    </w:p>
    <w:p>
      <w:pPr>
        <w:spacing w:after="60"/>
      </w:pPr>
      <w:r>
        <w:t>Use the following worksheet sequence exactly: Read Me; Source Register; Evidence Extract; Limits; Drawing Check; Observation Log; Scenario Check; Approval. Scenario Check and Approval are printed double-sided as one A4 landscape gate-review handout, one page per sheet, fit one page wide and one page high. Observation Log should repeat its headings if printed separately.</w:t>
      </w:r>
    </w:p>
    <w:p>
      <w:pPr>
        <w:spacing w:before="140"/>
      </w:pPr>
      <w:r>
        <w:rPr>
          <w:b/>
          <w:color w:val="1F4E79"/>
          <w:sz w:val="22"/>
        </w:rPr>
        <w:t>2. Controlled table fields</w:t>
      </w:r>
    </w:p>
    <w:tbl>
      <w:tblPr>
        <w:tblStyle w:val="TableGrid"/>
        <w:tblW w:type="auto" w:w="0"/>
        <w:tblLook w:firstColumn="1" w:firstRow="1" w:lastColumn="0" w:lastRow="0" w:noHBand="0" w:noVBand="1" w:val="04A0"/>
      </w:tblPr>
      <w:tblGrid>
        <w:gridCol w:w="4656"/>
        <w:gridCol w:w="4656"/>
        <w:gridCol w:w="4656"/>
      </w:tblGrid>
      <w:tr>
        <w:tc>
          <w:tcPr>
            <w:tcW w:type="dxa" w:w="4656"/>
            <w:shd w:fill="1F4E78"/>
          </w:tcPr>
          <w:p>
            <w:r>
              <w:rPr>
                <w:b/>
                <w:color w:val="FFFFFF"/>
              </w:rPr>
              <w:t>Section</w:t>
            </w:r>
          </w:p>
        </w:tc>
        <w:tc>
          <w:tcPr>
            <w:tcW w:type="dxa" w:w="4656"/>
            <w:shd w:fill="1F4E78"/>
          </w:tcPr>
          <w:p>
            <w:r>
              <w:rPr>
                <w:b/>
                <w:color w:val="FFFFFF"/>
              </w:rPr>
              <w:t>Required fields</w:t>
            </w:r>
          </w:p>
        </w:tc>
        <w:tc>
          <w:tcPr>
            <w:tcW w:type="dxa" w:w="4656"/>
            <w:shd w:fill="1F4E78"/>
          </w:tcPr>
          <w:p>
            <w:r>
              <w:rPr>
                <w:b/>
                <w:color w:val="FFFFFF"/>
              </w:rPr>
              <w:t>Table name / use</w:t>
            </w:r>
          </w:p>
        </w:tc>
      </w:tr>
      <w:tr>
        <w:tc>
          <w:tcPr>
            <w:tcW w:type="dxa" w:w="4656"/>
            <w:vAlign w:val="top"/>
          </w:tcPr>
          <w:p>
            <w:r>
              <w:t>Source Register</w:t>
            </w:r>
          </w:p>
        </w:tc>
        <w:tc>
          <w:tcPr>
            <w:tcW w:type="dxa" w:w="4656"/>
            <w:vAlign w:val="top"/>
          </w:tcPr>
          <w:p>
            <w:r>
              <w:t>Source File; Revision or Snapshot Date; Evidence Type; Jurisdiction; Governing Subject; Precedence Role; Conflict or Gap; Traceability Key</w:t>
            </w:r>
          </w:p>
        </w:tc>
        <w:tc>
          <w:tcPr>
            <w:tcW w:type="dxa" w:w="4656"/>
            <w:vAlign w:val="top"/>
          </w:tcPr>
          <w:p>
            <w:r>
              <w:t>Source provenance</w:t>
            </w:r>
          </w:p>
        </w:tc>
      </w:tr>
      <w:tr>
        <w:tc>
          <w:tcPr>
            <w:tcW w:type="dxa" w:w="4656"/>
            <w:vAlign w:val="top"/>
          </w:tcPr>
          <w:p>
            <w:r>
              <w:t>Evidence Extract</w:t>
            </w:r>
          </w:p>
        </w:tc>
        <w:tc>
          <w:tcPr>
            <w:tcW w:type="dxa" w:w="4656"/>
            <w:vAlign w:val="top"/>
          </w:tcPr>
          <w:p>
            <w:r>
              <w:t>Evidence ID; Source File; Source Record; Timestamp; Phase; Index Time (s); Peak Duration (ms); Measured Clearance (mm); Dimensional Deviation (mm); Missing Status</w:t>
            </w:r>
          </w:p>
        </w:tc>
        <w:tc>
          <w:tcPr>
            <w:tcW w:type="dxa" w:w="4656"/>
            <w:vAlign w:val="top"/>
          </w:tcPr>
          <w:p>
            <w:r>
              <w:t>tblEvidence; current source rows</w:t>
            </w:r>
          </w:p>
        </w:tc>
      </w:tr>
      <w:tr>
        <w:tc>
          <w:tcPr>
            <w:tcW w:type="dxa" w:w="4656"/>
            <w:vAlign w:val="top"/>
          </w:tcPr>
          <w:p>
            <w:r>
              <w:t>Limits</w:t>
            </w:r>
          </w:p>
        </w:tc>
        <w:tc>
          <w:tcPr>
            <w:tcW w:type="dxa" w:w="4656"/>
            <w:vAlign w:val="top"/>
          </w:tcPr>
          <w:p>
            <w:r>
              <w:t>Requirement ID; Metric; Direction; Unit; Frozen Acceptance; Controlled Drawing; Great Britain; Republic of Ireland; Governing Limit; Conflict State; Source Reference</w:t>
            </w:r>
          </w:p>
        </w:tc>
        <w:tc>
          <w:tcPr>
            <w:tcW w:type="dxa" w:w="4656"/>
            <w:vAlign w:val="top"/>
          </w:tcPr>
          <w:p>
            <w:r>
              <w:t>Source assertions and comparison</w:t>
            </w:r>
          </w:p>
        </w:tc>
      </w:tr>
      <w:tr>
        <w:tc>
          <w:tcPr>
            <w:tcW w:type="dxa" w:w="4656"/>
            <w:vAlign w:val="top"/>
          </w:tcPr>
          <w:p>
            <w:r>
              <w:t>Drawing Check</w:t>
            </w:r>
          </w:p>
        </w:tc>
        <w:tc>
          <w:tcPr>
            <w:tcW w:type="dxa" w:w="4656"/>
            <w:vAlign w:val="top"/>
          </w:tcPr>
          <w:p>
            <w:r>
              <w:t>Dimension ID; View; Datum; Nominal (mm); Minus Tolerance (mm); Plus Tolerance (mm); Lower Bound (mm); Upper Bound (mm); Related View; Related Nominal (mm); View Agreement; Available Envelope (mm); Required Clearance (mm); Clearance Margin (mm); Missing Status</w:t>
            </w:r>
          </w:p>
        </w:tc>
        <w:tc>
          <w:tcPr>
            <w:tcW w:type="dxa" w:w="4656"/>
            <w:vAlign w:val="top"/>
          </w:tcPr>
          <w:p>
            <w:r>
              <w:t>Related-view and envelope checks</w:t>
            </w:r>
          </w:p>
        </w:tc>
      </w:tr>
      <w:tr>
        <w:tc>
          <w:tcPr>
            <w:tcW w:type="dxa" w:w="4656"/>
            <w:vAlign w:val="top"/>
          </w:tcPr>
          <w:p>
            <w:r>
              <w:t>Observation Log</w:t>
            </w:r>
          </w:p>
        </w:tc>
        <w:tc>
          <w:tcPr>
            <w:tcW w:type="dxa" w:w="4656"/>
            <w:vAlign w:val="top"/>
          </w:tcPr>
          <w:p>
            <w:r>
              <w:t>Observation ID; Timestamp; Phase; Index Time (s); Peak Duration (ms); Fixture X (mm); Fixture Y (mm); Fixture Z (mm); Measured Clearance (mm); Dimensional Deviation (mm); Missing Status; Source Note; Index Pass; Clearance Pass; Tolerance Pass</w:t>
            </w:r>
          </w:p>
        </w:tc>
        <w:tc>
          <w:tcPr>
            <w:tcW w:type="dxa" w:w="4656"/>
            <w:vAlign w:val="top"/>
          </w:tcPr>
          <w:p>
            <w:r>
              <w:t>tblObservations; blank future instrument</w:t>
            </w:r>
          </w:p>
        </w:tc>
      </w:tr>
      <w:tr>
        <w:tc>
          <w:tcPr>
            <w:tcW w:type="dxa" w:w="4656"/>
            <w:vAlign w:val="top"/>
          </w:tcPr>
          <w:p>
            <w:r>
              <w:t>Scenario Check</w:t>
            </w:r>
          </w:p>
        </w:tc>
        <w:tc>
          <w:tcPr>
            <w:tcW w:type="dxa" w:w="4656"/>
            <w:vAlign w:val="top"/>
          </w:tcPr>
          <w:p>
            <w:r>
              <w:t>Scenario; Jurisdiction; Cycle Basis (s); Net Available Time; Target Units; Projected Units; Throughput Margin; Clearance Margin; Tolerance Margin; Technical Outcome; Assumption Source</w:t>
            </w:r>
          </w:p>
        </w:tc>
        <w:tc>
          <w:tcPr>
            <w:tcW w:type="dxa" w:w="4656"/>
            <w:vAlign w:val="top"/>
          </w:tcPr>
          <w:p>
            <w:r>
              <w:t>Three scenario bases by jurisdiction</w:t>
            </w:r>
          </w:p>
        </w:tc>
      </w:tr>
    </w:tbl>
    <w:p>
      <w:pPr>
        <w:spacing w:before="140"/>
      </w:pPr>
      <w:r>
        <w:rPr>
          <w:b/>
          <w:color w:val="1F4E79"/>
          <w:sz w:val="22"/>
        </w:rPr>
        <w:t>3. Codes and blank-entry convention</w:t>
      </w:r>
    </w:p>
    <w:p>
      <w:pPr>
        <w:spacing w:after="60"/>
      </w:pPr>
      <w:r>
        <w:t>Phase values are exactly SETUP, STEADY, and INDEX PEAK. Missing Status values are exactly NOT OBSERVED, NOT APPLICABLE, and NOT SUPPLIED. Blank numeric cells remain empty when a datum is unavailable; do not use zero, a dash, or an invented label. Future-entry cells use RGB FFF2CC (pale yellow) and the workbook must include a legend explaining that the fill identifies fields awaiting later entry.</w:t>
      </w:r>
    </w:p>
    <w:p>
      <w:pPr>
        <w:spacing w:before="140"/>
      </w:pPr>
      <w:r>
        <w:rPr>
          <w:b/>
          <w:color w:val="1F4E79"/>
          <w:sz w:val="22"/>
        </w:rPr>
        <w:t>4. Scenario assumptions</w:t>
      </w:r>
    </w:p>
    <w:p>
      <w:pPr>
        <w:spacing w:after="60"/>
      </w:pPr>
      <w:r>
        <w:t>Use a net available production time of 270 minutes and a target of 12,000 units for each scenario. The scenario table must show an Acceptance basis, an Observed sustained basis, and a Peak stress basis. Keep cycle values in seconds, convert the available time to seconds in the projected-output calculation, and retain peak duration in milliseconds at event grain. The local convention requires the preparer to show how these bases were obtained; it does not prescribe how conflicting evidence is reconciled.</w:t>
      </w:r>
    </w:p>
    <w:p>
      <w:pPr>
        <w:spacing w:before="140"/>
      </w:pPr>
      <w:r>
        <w:rPr>
          <w:b/>
          <w:color w:val="1F4E79"/>
          <w:sz w:val="22"/>
        </w:rPr>
        <w:t>5. Stakeholder use</w:t>
      </w:r>
    </w:p>
    <w:p>
      <w:pPr>
        <w:spacing w:after="60"/>
      </w:pPr>
      <w:r>
        <w:t>The package is for production, quality, controls, and commercial reviewers assessing a Latchford Engineering production-cell specification across Great Britain and the Republic of Ireland. Keep current evidence distinct from later commissioning entries, preserve source-row traceability, and make jurisdiction-specific constraints visible before any approval process is completed.</w:t>
      </w:r>
    </w:p>
    <w:p>
      <w:pPr>
        <w:spacing w:before="140"/>
      </w:pPr>
      <w:r>
        <w:rPr>
          <w:b/>
          <w:color w:val="1F4E79"/>
          <w:sz w:val="22"/>
        </w:rPr>
        <w:t>6. Required outcome and approval presentation</w:t>
      </w:r>
    </w:p>
    <w:p>
      <w:pPr>
        <w:spacing w:after="60"/>
      </w:pPr>
      <w:r>
        <w:t>Use the exact technical outcome labels MEETS, DOES NOT MEET, and INDETERMINATE. Keep commissioning disposition, reviewer identity, initials or signature, review date, approval conditions, and comments as blank completion fields. The approval sheet must show the exact banner PENDING COMMISSIONING / APPROVAL outside those fields. This convention document defines names and presentation only; it does not prescribe an evidence-precedence decision or a worked technical outcome.</w:t>
      </w:r>
    </w:p>
    <w:sectPr w:rsidR="00FC693F" w:rsidRPr="0006063C" w:rsidSect="00034616">
      <w:footerReference w:type="default" r:id="rId9"/>
      <w:pgSz w:w="15840" w:h="12240" w:orient="landscape"/>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CWR-2025-10-27 | Internal controlled convention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