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Pennsylvania Recording Review Packet</w:t>
      </w:r>
    </w:p>
    <w:p>
      <w:r>
        <w:t>Quillhaven Terminals privacy committee  |  Counsel-approved operational summary  |  Current as of July 15, 2025</w:t>
      </w:r>
    </w:p>
    <w:p>
      <w:pPr>
        <w:pStyle w:val="Heading1"/>
      </w:pPr>
      <w:r>
        <w:t>Purpose and disclosure context</w:t>
      </w:r>
    </w:p>
    <w:p>
      <w:r>
        <w:t>This packet supports an operational review of recorded Pennsylvania customer-service calls. Pennsylvania consent-to-recording context is summarized for this review as of July 15, 2025; this is not legal advice or a determination of liability, notification, or remediation. The approved audible disclosure is Prompt ID PA-REC-4.2: “This call may be recorded for quality and service purposes.” The operational objective is playback before or at recording initiation.</w:t>
      </w:r>
    </w:p>
    <w:p>
      <w:pPr>
        <w:pStyle w:val="Heading1"/>
      </w:pPr>
      <w:r>
        <w:t>Eligible population and comparison periods</w:t>
      </w:r>
    </w:p>
    <w:p>
      <w:r>
        <w:t>Retain a call only if Customer state = PA, Call category = Customer service, Connected = Yes, Recording status = Yes, and its call-start timestamp falls in one of these inclusive windows: Pre-migration: January 1, 2025 00:00 through March 31, 2025 23:59 ET; Post-migration: April 1, 2025 00:00 through June 30, 2025 23:59 ET. The comparison concerns the April move to the Horizon CC contact-centre platform. Strata are the recorded queue and period.</w:t>
      </w:r>
    </w:p>
    <w:p>
      <w:pPr>
        <w:pStyle w:val="Heading1"/>
      </w:pPr>
      <w:r>
        <w:t>Committee sampling charter</w:t>
      </w:r>
    </w:p>
    <w:p>
      <w:r>
        <w:t>Use a 95% confidence level (z = 1.96), 5% margin of error, and conservative assumed exception proportion p = 0.50. Compute n0 = z²p(1−p)/e² and apply the finite-population adjustment n = N×n0/(N+n0−1); round the resulting target up to the next whole call. Allocate a minimum of 24 calls to every queue-by-period stratum. Allocate the remaining calls proportionally to eligible stratum populations, using largest remainders; break equal remainders by period (Pre-migration before Post-migration) then queue name (A–Z).</w:t>
      </w:r>
    </w:p>
    <w:p>
      <w:r>
        <w:t>Within each stratum, rank eligible calls by ascending SHA-256 hexadecimal digest of the literal string `QH-PA-2025-0715|` followed by Call ID. Select the first allocated calls. For sampled proportions, report two-sided 95% Wilson score intervals (no finite-population correction to interval endpoints).</w:t>
      </w:r>
    </w:p>
    <w:p>
      <w:pPr>
        <w:pStyle w:val="Heading1"/>
      </w:pPr>
      <w:r>
        <w:t>Current evidence classification protocol</w:t>
      </w:r>
    </w:p>
    <w:p>
      <w:r>
        <w:t>Classify a sampled call as Missing disclosure when there is no qualifying prompt-start/playback evidence. Otherwise classify it as Materially truncated when audible duration is more than 0.5 seconds below Expected audible sec OR Playback complete is not Yes OR Approved script match is not Yes. A connect-edge clip is a nonexception only if Connect-edge clip sec is 1.0 seconds or less AND Playback complete is Yes AND Approved script match is Yes. Missing and materially truncated classifications are mutually exclusive; do not classify a qualifying connect-edge clip as an exception. Review current prompt-event and reviewer fields for the selected calls.</w:t>
      </w:r>
    </w:p>
    <w:p>
      <w:pPr>
        <w:pStyle w:val="Heading1"/>
      </w:pPr>
      <w:r>
        <w:t>Use of this packet</w:t>
      </w:r>
    </w:p>
    <w:p>
      <w:r>
        <w:t>The packet supplies a reproducible fact-review protocol for committee consideration. It does not decide legal liability, reportability, customer notice, or system remediation.</w:t>
      </w:r>
    </w:p>
    <w:p>
      <w:pPr/>
      <w:r>
        <w:t>Prepared for committee use • Internal counsel operational summary</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