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STATE TREASURY</w:t>
        <w:br/>
        <w:t>Unclaimed-Property Unit</w:t>
      </w:r>
    </w:p>
    <w:p>
      <w:pPr>
        <w:pStyle w:val="Title"/>
      </w:pPr>
      <w:r>
        <w:t>Decision Memorandum</w:t>
      </w:r>
    </w:p>
    <w:tbl>
      <w:tblPr>
        <w:tblW w:type="auto" w:w="0"/>
        <w:jc w:val="left"/>
        <w:tblLayout w:type="fixed"/>
        <w:tblLook w:firstColumn="1" w:firstRow="1" w:lastColumn="0" w:lastRow="0" w:noHBand="0" w:noVBand="1" w:val="04A0"/>
      </w:tblPr>
      <w:tblGrid>
        <w:gridCol w:w="5141"/>
        <w:gridCol w:w="5141"/>
      </w:tblGrid>
      <w:tr>
        <w:tc>
          <w:tcPr>
            <w:tcW w:type="dxa" w:w="1008"/>
          </w:tcPr>
          <w:p>
            <w:r>
              <w:rPr>
                <w:b/>
              </w:rPr>
              <w:t>To:</w:t>
            </w:r>
          </w:p>
        </w:tc>
        <w:tc>
          <w:tcPr>
            <w:tcW w:type="dxa" w:w="8352"/>
          </w:tcPr>
          <w:p>
            <w:r>
              <w:t>Tamsin Alcantara, Bureau Chief</w:t>
            </w:r>
          </w:p>
        </w:tc>
      </w:tr>
      <w:tr>
        <w:tc>
          <w:tcPr>
            <w:tcW w:type="dxa" w:w="1008"/>
          </w:tcPr>
          <w:p>
            <w:r>
              <w:rPr>
                <w:b/>
              </w:rPr>
              <w:t>From:</w:t>
            </w:r>
          </w:p>
        </w:tc>
        <w:tc>
          <w:tcPr>
            <w:tcW w:type="dxa" w:w="8352"/>
          </w:tcPr>
          <w:p>
            <w:r>
              <w:t>Sofia Hartnett, Compliance Officer</w:t>
            </w:r>
          </w:p>
        </w:tc>
      </w:tr>
      <w:tr>
        <w:tc>
          <w:tcPr>
            <w:tcW w:type="dxa" w:w="1008"/>
          </w:tcPr>
          <w:p>
            <w:r>
              <w:rPr>
                <w:b/>
              </w:rPr>
              <w:t>Date:</w:t>
            </w:r>
          </w:p>
        </w:tc>
        <w:tc>
          <w:tcPr>
            <w:tcW w:type="dxa" w:w="8352"/>
          </w:tcPr>
          <w:p>
            <w:r>
              <w:t>June 20, 2026</w:t>
            </w:r>
          </w:p>
        </w:tc>
      </w:tr>
      <w:tr>
        <w:tc>
          <w:tcPr>
            <w:tcW w:type="dxa" w:w="1008"/>
          </w:tcPr>
          <w:p>
            <w:r>
              <w:rPr>
                <w:b/>
              </w:rPr>
              <w:t>Subject:</w:t>
            </w:r>
          </w:p>
        </w:tc>
        <w:tc>
          <w:tcPr>
            <w:tcW w:type="dxa" w:w="8352"/>
          </w:tcPr>
          <w:p>
            <w:r>
              <w:t>Transaction-monitoring platform selection</w:t>
            </w:r>
          </w:p>
        </w:tc>
      </w:tr>
    </w:tbl>
    <w:p>
      <w:pPr>
        <w:pStyle w:val="Heading1"/>
      </w:pPr>
      <w:r>
        <w:t>Recommendation</w:t>
      </w:r>
    </w:p>
    <w:p>
      <w:r>
        <w:t>Approve ClaimSphere for the transaction-monitoring platform procurement. It has the highest risk-adjusted decision total (79.00), combining the only demonstrated native BSA E-Filing workflow with a mid-range false-positive result and cost. The approved grid initially placed HarborSignal first by 0.50 points (79.50 versus ClaimSphere’s 79.00); a separately disclosed 2.00-point Slateford delivery-risk overlay moves HarborSignal to 77.50. The overlay changes the ranking rather than merely narrowing the margin.</w:t>
      </w:r>
    </w:p>
    <w:p>
      <w:pPr>
        <w:pStyle w:val="Heading1"/>
      </w:pPr>
      <w:r>
        <w:t>Quantitative result</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tcPr>
          <w:p>
            <w:r>
              <w:rPr>
                <w:sz w:val="16"/>
              </w:rPr>
              <w:t>Platform</w:t>
            </w:r>
          </w:p>
        </w:tc>
        <w:tc>
          <w:tcPr>
            <w:tcW w:type="dxa" w:w="2056"/>
            <w:vAlign w:val="center"/>
          </w:tcPr>
          <w:p>
            <w:r>
              <w:rPr>
                <w:sz w:val="16"/>
              </w:rPr>
              <w:t>False-positive rate</w:t>
            </w:r>
          </w:p>
        </w:tc>
        <w:tc>
          <w:tcPr>
            <w:tcW w:type="dxa" w:w="2056"/>
            <w:vAlign w:val="center"/>
          </w:tcPr>
          <w:p>
            <w:r>
              <w:rPr>
                <w:sz w:val="16"/>
              </w:rPr>
              <w:t>BSA E-Filing classification</w:t>
            </w:r>
          </w:p>
        </w:tc>
        <w:tc>
          <w:tcPr>
            <w:tcW w:type="dxa" w:w="2056"/>
            <w:vAlign w:val="center"/>
          </w:tcPr>
          <w:p>
            <w:r>
              <w:rPr>
                <w:sz w:val="16"/>
              </w:rPr>
              <w:t>Base five-year cost</w:t>
            </w:r>
          </w:p>
        </w:tc>
        <w:tc>
          <w:tcPr>
            <w:tcW w:type="dxa" w:w="2056"/>
            <w:vAlign w:val="center"/>
          </w:tcPr>
          <w:p>
            <w:r>
              <w:rPr>
                <w:sz w:val="16"/>
              </w:rPr>
              <w:t>Approved / adjusted</w:t>
            </w:r>
          </w:p>
        </w:tc>
      </w:tr>
      <w:tr>
        <w:tc>
          <w:tcPr>
            <w:tcW w:type="dxa" w:w="2056"/>
            <w:vAlign w:val="center"/>
          </w:tcPr>
          <w:p>
            <w:r>
              <w:rPr>
                <w:sz w:val="16"/>
              </w:rPr>
              <w:t>BeaconTrace</w:t>
            </w:r>
          </w:p>
        </w:tc>
        <w:tc>
          <w:tcPr>
            <w:tcW w:type="dxa" w:w="2056"/>
            <w:vAlign w:val="center"/>
          </w:tcPr>
          <w:p>
            <w:r>
              <w:rPr>
                <w:sz w:val="16"/>
              </w:rPr>
              <w:t>10.00%</w:t>
            </w:r>
          </w:p>
        </w:tc>
        <w:tc>
          <w:tcPr>
            <w:tcW w:type="dxa" w:w="2056"/>
            <w:vAlign w:val="center"/>
          </w:tcPr>
          <w:p>
            <w:r>
              <w:rPr>
                <w:sz w:val="16"/>
              </w:rPr>
              <w:t>Roadmap-only / unsupported</w:t>
            </w:r>
          </w:p>
        </w:tc>
        <w:tc>
          <w:tcPr>
            <w:tcW w:type="dxa" w:w="2056"/>
            <w:vAlign w:val="center"/>
          </w:tcPr>
          <w:p>
            <w:r>
              <w:rPr>
                <w:sz w:val="16"/>
              </w:rPr>
              <w:t>$1,244,203</w:t>
            </w:r>
          </w:p>
        </w:tc>
        <w:tc>
          <w:tcPr>
            <w:tcW w:type="dxa" w:w="2056"/>
            <w:vAlign w:val="center"/>
          </w:tcPr>
          <w:p>
            <w:r>
              <w:rPr>
                <w:sz w:val="16"/>
              </w:rPr>
              <w:t>59.50 / 59.50</w:t>
            </w:r>
          </w:p>
        </w:tc>
      </w:tr>
      <w:tr>
        <w:tc>
          <w:tcPr>
            <w:tcW w:type="dxa" w:w="2056"/>
            <w:vAlign w:val="center"/>
          </w:tcPr>
          <w:p>
            <w:r>
              <w:rPr>
                <w:sz w:val="16"/>
              </w:rPr>
              <w:t>ClaimSphere</w:t>
            </w:r>
          </w:p>
        </w:tc>
        <w:tc>
          <w:tcPr>
            <w:tcW w:type="dxa" w:w="2056"/>
            <w:vAlign w:val="center"/>
          </w:tcPr>
          <w:p>
            <w:r>
              <w:rPr>
                <w:sz w:val="16"/>
              </w:rPr>
              <w:t>15.00%</w:t>
            </w:r>
          </w:p>
        </w:tc>
        <w:tc>
          <w:tcPr>
            <w:tcW w:type="dxa" w:w="2056"/>
            <w:vAlign w:val="center"/>
          </w:tcPr>
          <w:p>
            <w:r>
              <w:rPr>
                <w:sz w:val="16"/>
              </w:rPr>
              <w:t>Native validated integration</w:t>
            </w:r>
          </w:p>
        </w:tc>
        <w:tc>
          <w:tcPr>
            <w:tcW w:type="dxa" w:w="2056"/>
            <w:vAlign w:val="center"/>
          </w:tcPr>
          <w:p>
            <w:r>
              <w:rPr>
                <w:sz w:val="16"/>
              </w:rPr>
              <w:t>$1,362,505</w:t>
            </w:r>
          </w:p>
        </w:tc>
        <w:tc>
          <w:tcPr>
            <w:tcW w:type="dxa" w:w="2056"/>
            <w:vAlign w:val="center"/>
          </w:tcPr>
          <w:p>
            <w:r>
              <w:rPr>
                <w:sz w:val="16"/>
              </w:rPr>
              <w:t>79.00 / 79.00</w:t>
            </w:r>
          </w:p>
        </w:tc>
      </w:tr>
      <w:tr>
        <w:tc>
          <w:tcPr>
            <w:tcW w:type="dxa" w:w="2056"/>
            <w:vAlign w:val="center"/>
          </w:tcPr>
          <w:p>
            <w:r>
              <w:rPr>
                <w:sz w:val="16"/>
              </w:rPr>
              <w:t>HarborSignal</w:t>
            </w:r>
          </w:p>
        </w:tc>
        <w:tc>
          <w:tcPr>
            <w:tcW w:type="dxa" w:w="2056"/>
            <w:vAlign w:val="center"/>
          </w:tcPr>
          <w:p>
            <w:r>
              <w:rPr>
                <w:sz w:val="16"/>
              </w:rPr>
              <w:t>20.00%</w:t>
            </w:r>
          </w:p>
        </w:tc>
        <w:tc>
          <w:tcPr>
            <w:tcW w:type="dxa" w:w="2056"/>
            <w:vAlign w:val="center"/>
          </w:tcPr>
          <w:p>
            <w:r>
              <w:rPr>
                <w:sz w:val="16"/>
              </w:rPr>
              <w:t>Validated connector integration</w:t>
            </w:r>
          </w:p>
        </w:tc>
        <w:tc>
          <w:tcPr>
            <w:tcW w:type="dxa" w:w="2056"/>
            <w:vAlign w:val="center"/>
          </w:tcPr>
          <w:p>
            <w:r>
              <w:rPr>
                <w:sz w:val="16"/>
              </w:rPr>
              <w:t>$966,168</w:t>
            </w:r>
          </w:p>
        </w:tc>
        <w:tc>
          <w:tcPr>
            <w:tcW w:type="dxa" w:w="2056"/>
            <w:vAlign w:val="center"/>
          </w:tcPr>
          <w:p>
            <w:r>
              <w:rPr>
                <w:sz w:val="16"/>
              </w:rPr>
              <w:t>79.50 / 77.50</w:t>
            </w:r>
          </w:p>
        </w:tc>
      </w:tr>
    </w:tbl>
    <w:p>
      <w:r>
        <w:t>BeaconTrace leads on false-positive rate (10.00%). ClaimSphere has the strongest supported BSA E-Filing integration: native submission and acknowledgement receipt demonstrated in the FinCEN sandbox. HarborSignal has the lowest base-scenario nominal five-year cost ($966,168) through its required demonstrated SecureLink connector. The other base totals are $1,244,203 for BeaconTrace and $1,362,505 for ClaimSphere. These are nominal, undiscounted FY27–FY31 amounts.</w:t>
      </w:r>
    </w:p>
    <w:p>
      <w:r>
        <w:t>For ClaimSphere, the low and high activity scenarios bound projected five-year cost at $1,174,505 to $1,614,505. They are planning scenarios, not representations about actual future workload.</w:t>
      </w:r>
    </w:p>
    <w:p>
      <w:pPr>
        <w:pStyle w:val="Heading1"/>
      </w:pPr>
      <w:r>
        <w:t>Trade-offs and delivery risk</w:t>
      </w:r>
    </w:p>
    <w:p>
      <w:r>
        <w:t>The decision gives up HarborSignal’s lowest cost and validated connector integration. It also gives up BeaconTrace’s lower false-positive rate. ClaimSphere’s 15.00% false-positive rate is within the approved 80-point band, while HarborSignal’s final 20.00% result is in the 60-point band. HarborSignal’s HS-018 was initially shown “Closed – no issue,” reopened, and finally “Confirmed reportable” before the 05/31/2026 cutoff; the final status governs. Treating the preliminary status as final would incorrectly report 25.00%.</w:t>
      </w:r>
    </w:p>
    <w:p>
      <w:r>
        <w:t>The 2.00-point HarborSignal adjustment reflects—not a claim of future failure—that its proposed implementer, Slateford Engineering, missed Sandpiper Consortium’s August 2023 control-milestone acceptance, experienced two configuration-lead departures, and remediated the controls roughly three months later before a January 2024 staged go-live. Sasha Ellingsen described those facts from first-hand experience. The documented remediation, elapsed time, and Slateford’s unverified statement of 2024 staffing-process changes limit the overlay. An adjustment exceeding 0.50 points is sufficient for ClaimSphere to outrank HarborSignal, so the selected 2.00 points is decisive but bounded.</w:t>
      </w:r>
    </w:p>
    <w:p>
      <w:pPr>
        <w:pStyle w:val="Heading1"/>
      </w:pPr>
      <w:r>
        <w:t>Practical mitigation and next action</w:t>
      </w:r>
    </w:p>
    <w:p>
      <w:r>
        <w:t>Negotiate ClaimSphere’s native BSA workflow as a pre-award acceptance demonstration and require a filing/acknowledgement test before production release. Use a named implementation lead, milestone acceptance evidence, weekly issue reporting, Treasury escalation rights, and a payment holdback until control acceptance. These controls preserve the selected platform’s integration advantage while managing normal delivery risk. The workpaper records the underlying pricing, alert classifications, scenario schedules, and excluded legacy material for audit review.</w:t>
      </w: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procurement analysis | Sofia Hartnett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