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42B3F"/>
          <w:sz w:val="32"/>
        </w:rPr>
        <w:t>Claims &amp; commitments register</w:t>
      </w:r>
    </w:p>
    <w:p>
      <w:r>
        <w:rPr>
          <w:color w:val="53616B"/>
          <w:sz w:val="16"/>
        </w:rPr>
        <w:t>Netherfield Industries founder pitch | Internal approval record | Owner: Ingrid Wainwright | Review target: Mirela Skarsgard, Tanneryside Advisory | 21 Mar 2025, 5:00 p.m.</w:t>
      </w:r>
    </w:p>
    <w:p>
      <w:r>
        <w:rPr>
          <w:b/>
          <w:color w:val="177E89"/>
          <w:sz w:val="18"/>
        </w:rPr>
        <w:t>External-use standard</w:t>
      </w:r>
    </w:p>
    <w:p>
      <w:r>
        <w:t>California advertising and trade-promotion treatment as of 15 February 2025: use only approved wording with a reasonable documented basis and retained approvals. This is a sales control, not legal advice; unresolved legal or promotional questions go to Tanneryside Advisory.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232"/>
        <w:gridCol w:w="3528"/>
        <w:gridCol w:w="1152"/>
        <w:gridCol w:w="1354"/>
      </w:tblGrid>
      <w:tr>
        <w:trPr>
          <w:cantSplit/>
        </w:trPr>
        <w:tc>
          <w:tcPr>
            <w:tcW w:type="dxa" w:w="2477"/>
            <w:shd w:fill="142B3F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Material pitch claim / commitment</w:t>
            </w:r>
          </w:p>
        </w:tc>
        <w:tc>
          <w:tcPr>
            <w:tcW w:type="dxa" w:w="2232"/>
            <w:shd w:fill="142B3F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Basis or assumption</w:t>
            </w:r>
          </w:p>
        </w:tc>
        <w:tc>
          <w:tcPr>
            <w:tcW w:type="dxa" w:w="3528"/>
            <w:shd w:fill="142B3F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External qualification / wording control</w:t>
            </w:r>
          </w:p>
        </w:tc>
        <w:tc>
          <w:tcPr>
            <w:tcW w:type="dxa" w:w="1152"/>
            <w:shd w:fill="142B3F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354"/>
            <w:shd w:fill="142B3F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 is thin in Nevada and Arizona; both excluded from initial scope.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Known internal fact; gap magnitude not supplied.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imply personnel, facilities, access, or reach. Add only after documented verification + separate written brand authorization.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Ingrid / Tanneryside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AS STATED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Last two brand launches lost distribution within a year.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Known internal history only. Causes and recoveries not supplied.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causal story, recovery result, or corrective-outcome claim. Pair with prospective controls only.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Ingrid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AS STATED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Six-week California-first pilot; named doors and approved SKU set.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Planning scope; door count is workbook assumption.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regional rollout or retailer acceptance promise. Scope must be written before activation.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Netherfield + Rowantree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SCOPE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Slotting support coordinates requirements and documents opportunities.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Proposed service process.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Must state payment does not buy, secure, or guarantee placement; retailer retains decision. Written brand approval before spend/commitment.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Tanneryside / Netherfield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WITH CONTROL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Category data informs assortment, pricing, velocity, replenishment, retention review.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Proposed decision-support use; data availability is entry condition.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Data, forecasts, and scenarios are not guarantees of sales or distribution. No comparative or outcome claim without documented basis.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Rowantree + Tanneryside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WITH CONTROL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Field team checks authorized execution, records evidence, reports exceptions, recommends correction.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Proposed operating activity; retailer/site permission may apply.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Recommendations stay nonbinding until accepted. Do not claim display or shelf result without evidence and authorization.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Rowantree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WITH CONTROL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Retention = activated doors still carrying approved SKU set / activated doors; closures/delistings count as not retained.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Prospective pilot KPI definition.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 retailer disposition; do not represent forecast retention as achieved result.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Rowantree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Base economics: $17,452 gross sales; $1,080 trade reserve; $4,020 Rowantree charges; $12,352 net proceeds.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Workbook Base assumptions: 54 doors, 6 weeks, 9 units/week, $6.50, 92% retention, 90% feasibility.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Illustrative/founder-editable only. No actual rate, spend, sales, or commitment claim. Maintain formula and approval record.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Netherfield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FOUNDER INPUT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Continue / adjust / stop gates: retention and feasibility thresholds.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Prospective governance design; workbook formulas.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a commercial guarantee. Stop for unresolved material readiness or authorization issue.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Netherfield + Rowantree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California compliance wording and records process.</w:t>
            </w:r>
          </w:p>
        </w:tc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Operational interpretation as of 15 Feb 2025.</w:t>
            </w:r>
          </w:p>
        </w:tc>
        <w:tc>
          <w:tcPr>
            <w:tcW w:type="dxa" w:w="35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say compliance guarantees retailer acceptance, legality of a specific promotion, or results. Tanneryside to resolve open questions.</w:t>
            </w:r>
          </w:p>
        </w:tc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Tanneryside</w:t>
            </w:r>
          </w:p>
        </w:tc>
        <w:tc>
          <w:tcPr>
            <w:tcW w:type="dxa" w:w="1354"/>
            <w:vAlign w:val="top"/>
            <w:shd w:fill="E9F1F3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CLEARANCE</w:t>
            </w:r>
          </w:p>
        </w:tc>
      </w:tr>
    </w:tbl>
    <w:p>
      <w:pPr/>
      <w:r>
        <w:t>Deliberate non-promises: no retailer placement, acceptance, footprint, personnel, launch recovery, customer result, sales outcome, or distribution outcome is represented as committed. Rowantree may recommend timely actions; Netherfield approval is mandatory before financial or external commitments.</w:t>
      </w:r>
    </w:p>
    <w:sectPr w:rsidR="00FC693F" w:rsidRPr="0006063C" w:rsidSect="00034616">
      <w:footerReference w:type="default" r:id="rId9"/>
      <w:pgSz w:w="12240" w:h="15840"/>
      <w:pgMar w:top="518" w:right="576" w:bottom="51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Internal working record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