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0"/>
        </w:rPr>
        <w:t>BRANTHAM INTERSTATE WATER COMPACT</w:t>
      </w:r>
    </w:p>
    <w:p>
      <w:pPr>
        <w:jc w:val="center"/>
      </w:pPr>
      <w:r>
        <w:rPr>
          <w:b/>
          <w:sz w:val="26"/>
        </w:rPr>
        <w:t>Records-Exemption Position Memorandum</w:t>
      </w:r>
    </w:p>
    <w:p>
      <w:pPr>
        <w:jc w:val="center"/>
      </w:pPr>
      <w:r>
        <w:rPr>
          <w:i/>
          <w:sz w:val="17"/>
        </w:rPr>
        <w:t>To: Frontline records staff and supervisors  |  From: Perpetua Lindgren, Counsel  |  12 August 2024</w:t>
      </w:r>
    </w:p>
    <w:p>
      <w:pPr>
        <w:keepLines/>
      </w:pPr>
      <w:r>
        <w:t>Purpose and scope. This is the Commission’s working legal position for handling access requests. It is written for frontline staff, not litigators. It applies the supplied Brantham Public-Records Authorities bundle only (the nine act extracts, four persuasive AG opinions, and two appellate decisions); no outside research was used. It addresses disclosure analysis, not retention, records-management administration, litigation strategy, or technical security controls.</w:t>
      </w:r>
    </w:p>
    <w:p>
      <w:pPr>
        <w:keepLines/>
      </w:pPr>
      <w:r>
        <w:t>How to read “must” and “should.” “Must” states a legal requirement shown by the bundle. “May” describes a statutory permission, not an instruction to withhold. “Should” is the Commission’s recommended practice. “Record” means recorded information in the Commission’s custody that documents public business; a draft can still be a record. “Exemption” is a legal ground allowing or requiring withholding. “Redaction” removes only protected content; “segregation” means releasing reasonably separable nonexempt parts.</w:t>
      </w:r>
    </w:p>
    <w:p>
      <w:pPr>
        <w:pStyle w:val="Heading1"/>
      </w:pPr>
      <w:r>
        <w:t>1. Baseline and decision boundary</w:t>
      </w:r>
    </w:p>
    <w:p>
      <w:pPr>
        <w:keepLines/>
      </w:pPr>
      <w:r>
        <w:t>All nine states start from openness and place the justification burden on the public body. A withholding decision must cite a defined ground, be no broader than necessary, and release reasonably segregable material. A permissive exemption (“may withhold”) does not make withholding mandatory. Staff may apply a clear, single-ground request when the record and redaction are straightforward. Escalate to the records administrator (RA) for mixed records, partial-release judgment, fee/notice questions, or uncertain record status; escalate to counsel for privilege, the compact clause, novel claims, threatened dispute, or a cross-state conflict.</w:t>
      </w:r>
    </w:p>
    <w:p>
      <w:pPr>
        <w:pStyle w:val="Heading1"/>
      </w:pPr>
      <w:r>
        <w:t>2. State survey (P1 baseline → P2, 2021 → 2024)</w:t>
      </w:r>
    </w:p>
    <w:p>
      <w:pPr>
        <w:keepLines/>
      </w:pPr>
      <w:r>
        <w:t>The table is a practical locator, not a substitute for the cited extract. “DP” means deliberative process. All entries incorporate each act’s segregation duty.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State / starting rule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DP?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Attorney / work product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Personnel / medical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Security-sensitive infrastructure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Trade secret / commercial</w:t>
            </w:r>
          </w:p>
        </w:tc>
        <w:tc>
          <w:tcPr>
            <w:tcW w:type="dxa" w:w="2037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P1 → P2 material change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Alderfen (§12-101, bundle p.2)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Yes: §12-114; factual portions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§12-117 legal advice/work product; business email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P1 balancing; P2 §12-121 makes medical confidential.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§12-119 vulnerability/access plans; general plans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§12-122 secrecy + value + written request.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Medical protection became mandatory in P2.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Bellwether (§4-201, p.3)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Yes: §4-208; factual studies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P1 advice; P2 adds litigation work product; permissive.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Redact home contact/medical; final discipline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§4-213 exploit-enabling schematics/cyber detail only.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§4-214 secrecy + likely harm; label not conclusive.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P2 work-product amendment, limited to litigation analysis.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Cedarvale (§7-301, p.4)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Yes: §7-309; raw data segregated.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§7-312 advice/work product; vendor copying may waive.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§7-315 medical/intimate facts; current evaluations conditional.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§7-318 specific vulnerabilities; high-level goals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P1 §7-320 proof; P2 adds owner notice, not dispositive.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P2 notice step is procedural, not automatic secrecy.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Dunshire (§9-401, p.5)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DP exemption; §9-407 says draft alone is not enough.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§9-409 confidential legal advice/work product tied to law/litigation.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§9-412 medical + identifiers; ordinary personnel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§9-414 plans/vulnerabilities; post-threat incident logs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§9-416 secrecy + value + likely harm; agency decides.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DP protection in either period—the exceptional state.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Eastmere (§3-501, p.6)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P1 broad §3-508; P2 only active-consideration recommendations.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§3-510; lawyer presence alone insufficient.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§3-512 medical/limited identifiers; final discipline/salary ranges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§3-514 detailed assessments/exploits; generic descriptions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§3-516 measures + likely harm; specific designation.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P2 narrows DP to live decisions.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Foxgrove (§5-601, p.7)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§5-607 pending-decision options; factual appendices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§5-609; outside-team disclosure can waive.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§5-611 medical/financial IDs; active evaluations conditional.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§5-613 specific exploitable weakness.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§5-615 secrecy + competitive injury; stamp insufficient.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material P2 text change.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Greyhaven (§8-701, p.8)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§8-708 predecisional drafts; objective facts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P1 §8-710 advice; P2 AG-24-03 persuasive work-product reading.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§8-712 medical/IDs; employment history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§8-714 maps/credentials/vulnerabilities; summary goals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§8-716 secrecy + substantial harm; agency tests proof.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P2 opinion expands interpretation but is not binding statute.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Hartsfield (§2-801, p.9)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§2-806 recommendations/draft positions; factual compilations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§2-808; waiver outside representation.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§2-810 medical/PII; no blanket personnel exemption.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§2-812 designs/playbooks/findings; status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§2-814 specific secrecy + harm; request not controlling.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material P2 text change.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Ironwood (§6-901, p.10)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§6-907 analyses/recommendations; measurements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§6-909 confidential advice/work product; project comms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§6-911 medical/narrow privacy; final discipline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§6-913 specific vulnerability; high-level plans open.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§6-915 secrecy + value + likely harm; label alone fails.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material P2 text change.</w:t>
            </w:r>
          </w:p>
        </w:tc>
      </w:tr>
    </w:tbl>
    <w:p>
      <w:pPr>
        <w:keepLines/>
      </w:pPr>
      <w:r>
        <w:t>Period comparison in one sentence: P2 materially changes Alderfen medical privacy, Bellwether work product, Cedarvale commercial notice, Eastmere’s live-decision DP scope, and Greyhaven’s persuasive work-product reading; the remaining states’ operative text is stable. Cite the P1/P2 page markers above for review.</w:t>
      </w:r>
    </w:p>
    <w:p>
      <w:pPr>
        <w:pStyle w:val="Heading1"/>
      </w:pPr>
      <w:r>
        <w:t>3. Subject-by-subject application</w:t>
      </w:r>
    </w:p>
    <w:p>
      <w:pPr>
        <w:keepLines/>
      </w:pPr>
      <w:r>
        <w:t>Draft modeling outputs. AG-21-02 treats a draft as a record once used to communicate a position or support a decision; AG-22-07 uses a narrower “never left the analyst’s control/no adopted communication” concept. The Commission adopts the narrower operational rule for intake only as a status screen: a purely private working file not communicated for Commission business is outside the request; once circulated, relied on, or attached to a decision, treat it as a record. Record status does not itself authorize withholding. Apply DP only to predecisional, deliberative recommendations/options (not raw measurements or factual appendices), and release separable facts. Dunshire’s lack of DP means its drafts need another lawful ground. Draft label alone is never enough. (AG-21-02 pp.11–12; AG-22-07 pp.13–14; Dunshire §9-407 p.5.)</w:t>
      </w:r>
    </w:p>
    <w:p>
      <w:pPr>
        <w:keepLines/>
      </w:pPr>
      <w:r>
        <w:t>Attorney-client/work product. Protect confidential communications seeking or giving legal advice and litigation work product only where the state test is met; a lawyer’s name or attendance is not dispositive. Ordinary program, policy, pricing, or engineering communications remain open. Disclosure outside the privileged representation can waive protection under Cedarvale §7-312(c), Foxgrove §5-609, and Hartsfield §2-808; do not assume a vendor is within that relationship. Staff should route any privilege claim or possible waiver to counsel.</w:t>
      </w:r>
    </w:p>
    <w:p>
      <w:pPr>
        <w:keepLines/>
      </w:pPr>
      <w:r>
        <w:t>Personnel and medical information. No state makes every employee record exempt. Protect medical information and specified personal identifiers; apply the source’s narrower balancing or active-evaluation limits to personnel material. Redact the protected datum and release the job, date, decision, or other separable public content. A mixed file goes to the RA; a medical or sensitive personnel dispute goes to counsel.</w:t>
      </w:r>
    </w:p>
    <w:p>
      <w:pPr>
        <w:keepLines/>
      </w:pPr>
      <w:r>
        <w:t>Security-sensitive infrastructure. Withhold only details tied to a concrete security interest—vulnerability findings, access credentials, exploit-enabling schematics, response playbooks, or equivalent source-defined detail. General locations, budgets, high-level resilience goals, and post-threat factual logs are not automatically protected. Escalate if the harm nexus is not obvious; technical controls are outside this memo.</w:t>
      </w:r>
    </w:p>
    <w:p>
      <w:pPr>
        <w:keepLines/>
      </w:pPr>
      <w:r>
        <w:t>Trade secrets and commercial information. The recurring test is independent secrecy, commercial value, and likely competitive harm (plus any state-specific written request, notice, or reasonable-measures condition). A submitter’s confidentiality stamp or request is evidence, not the decision. Redact only qualifying formulas, pricing, methods, or assumptions and release the rest. AG-23-05 confirms that owner notice does not make the claim conclusive (pp.15–16).</w:t>
      </w:r>
    </w:p>
    <w:p>
      <w:pPr>
        <w:pStyle w:val="Heading1"/>
      </w:pPr>
      <w:r>
        <w:t>4. Compact confidentiality clause and third parties</w:t>
      </w:r>
    </w:p>
    <w:p>
      <w:pPr>
        <w:keepLines/>
      </w:pPr>
      <w:r>
        <w:t>The appellate conflict is real. Northbank Press (41 B.I.W.C. App. 18, P1, pp.19–21) holds that “information furnished…in confidence shall be protected” is an independent mandatory compact shield; its discussion of state exemptions is dicta. South Fork Gazette (47 B.I.W.C. App. 77, P2, pp.22–24) holds the clause directs application of a lawful state exemption, with “in confidence” describing handling; it rejects label-created secrecy and relies on savings language. The textual tension is “shall/protected” versus savings language and anti-labeling. Neither case resolves every category, and no later en banc resolution appears in the bundle.</w:t>
      </w:r>
    </w:p>
    <w:p>
      <w:pPr>
        <w:keepLines/>
      </w:pPr>
      <w:r>
        <w:t>Commission position. For Commission records, apply a defined state-law or other lawful exemption and the segregation rule; do not withhold solely because a record is stamped confidential or because Northbank’s broader reading is available. The clause reinforces careful handling and may require protection where a valid exemption applies, but it does not erase Dunshire’s absent DP exemption or create a blanket shield. If a state law would permit access and the clause is the only asserted ground, escalate to counsel/RA rather than label the record exempt. This narrower position is defensible under South Fork, respects Northbank’s mandatory reading as a material risk, and avoids selecting the broadest exemption.</w:t>
      </w:r>
    </w:p>
    <w:p>
      <w:pPr>
        <w:keepLines/>
      </w:pPr>
      <w:r>
        <w:t>Cobblemoor Mutual and Brightcastle Health Network. Their source status does not decide disclosure. The Commission owns the response. Apply content-based tests: Cobblemoor’s flood scenarios/pricing may qualify under commercial-information conditions; Brightcastle’s de-identified health summaries may be open while a patient-safety annex may require privacy or security analysis. Neither organisation can veto release; their confidentiality request is not conclusive. Escalate any mixed or disputed third-party claim.</w:t>
      </w:r>
    </w:p>
    <w:p>
      <w:pPr>
        <w:pStyle w:val="Heading1"/>
      </w:pPr>
      <w:r>
        <w:t>5. Frontline decisions and escalation</w:t>
      </w:r>
    </w:p>
    <w:p>
      <w:pPr>
        <w:keepLines/>
      </w:pPr>
      <w:r>
        <w:t>Staff may, without counsel, release clearly public factual material; apply an obvious, narrow redaction for a specified medical identifier, home contact, credential, or plainly segregable commercial secret; and release factual portions of a deliberative or mixed record when the cited extract clearly requires segregation. Record the applicable bundle locator in the response. These are bounded decisions, not a records-management workflow.</w:t>
      </w:r>
    </w:p>
    <w:p>
      <w:pPr>
        <w:keepLines/>
      </w:pPr>
      <w:r>
        <w:t>Must escalate to the RA or counsel when: record status is disputed (especially a draft model); privilege or waiver is claimed; a request invokes the compact clause alone; a state approach conflicts; a whole mixed record is proposed for withholding; a security or commercial harm nexus is debatable; a third party objects; or the requester threatens challenge. The RA handles administration; counsel handles legal interpretation. Neither this memo nor the RA supplies technical security instructions.</w:t>
      </w:r>
    </w:p>
    <w:p>
      <w:pPr>
        <w:pStyle w:val="Heading1"/>
      </w:pPr>
      <w:r>
        <w:t>Commission position (operative conclusion)</w:t>
      </w:r>
    </w:p>
    <w:p>
      <w:pPr>
        <w:keepLines/>
      </w:pPr>
      <w:r>
        <w:t>The Brantham Interstate Water Compact presumes access. Withhold only the portion supported by a defined, source-traceable exemption or other lawful ground; segregate and release the rest. Draft status, lawyer involvement, vendor provenance, infrastructure subject matter, or a confidentiality label alone never decides the request. The Commission adopts the communicated-record screen for drafts, the content-based tests in the state survey, and the South Fork–aligned conditional reading of the confidentiality clause, with Northbank-level conflicts and other high-risk cases escalated. This is the single position staff should apply unless counsel or the Commission’s records administrator directs otherwise.</w:t>
      </w:r>
    </w:p>
    <w:p>
      <w:pPr>
        <w:keepLines/>
      </w:pPr>
      <w:r>
        <w:t>Authority key: State Act §section (bundle pp.2–10); AG-21-02/22-07/23-05/24-03 (bundle pp.11–18); Northbank and South Fork (bundle pp.19–24); third-party notes (bundle pp.25–26).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