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 w:eastAsia="Aptos"/>
          <w:b/>
          <w:color w:val="17365D"/>
          <w:sz w:val="32"/>
        </w:rPr>
        <w:t>Front-Desk Briefing: Appointment-Reminder Calls</w:t>
      </w:r>
    </w:p>
    <w:p>
      <w:pPr>
        <w:spacing w:after="80"/>
      </w:pPr>
      <w:r>
        <w:rPr>
          <w:rFonts w:ascii="Aptos" w:hAnsi="Aptos" w:eastAsia="Aptos"/>
          <w:b/>
          <w:color w:val="0F6B78"/>
          <w:sz w:val="17"/>
        </w:rPr>
        <w:t>Crownridge Health Network | For clinic site coordinators and front-desk staff | Use for calls before Monday, 7:00 a.m.</w:t>
      </w:r>
    </w:p>
    <w:p>
      <w:pPr>
        <w:spacing w:after="80"/>
      </w:pPr>
      <w:r>
        <w:rPr>
          <w:rFonts w:ascii="Aptos" w:hAnsi="Aptos" w:eastAsia="Aptos"/>
          <w:b/>
          <w:color w:val="17365D"/>
          <w:sz w:val="18"/>
        </w:rPr>
        <w:t xml:space="preserve">Purpose. </w:t>
      </w:r>
      <w:r>
        <w:rPr>
          <w:rFonts w:ascii="Aptos" w:hAnsi="Aptos" w:eastAsia="Aptos"/>
          <w:b w:val="0"/>
          <w:color w:val="1F2933"/>
          <w:sz w:val="18"/>
        </w:rPr>
        <w:t>Give patients a calm, consistent response after weekend spoofed appointment-reminder emails. Ana Vanterpool, messaging-service owner, is the incident contact. The visible sender address can be forged; a Crownridge reply-to is only a supporting signal. Neither proves a message is genuine. Check appointment information in Crownridge's internal scheduling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680"/>
            <w:shd w:fill="EAF2F4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F6B78"/>
                <w:sz w:val="16"/>
              </w:rPr>
              <w:t>VERIFY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Use the internal scheduling record for appointment questions. Do not ask a patient to validate the email.</w:t>
            </w:r>
          </w:p>
        </w:tc>
        <w:tc>
          <w:tcPr>
            <w:tcW w:type="dxa" w:w="4680"/>
            <w:shd w:fill="EAF2F4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F6B78"/>
                <w:sz w:val="16"/>
              </w:rPr>
              <w:t>DO NOT USE AS PROOF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A browser padlock or HTTPS appearance is not proof that the email is authentic.</w:t>
            </w:r>
          </w:p>
        </w:tc>
        <w:tc>
          <w:tcPr>
            <w:tcW w:type="dxa" w:w="4680"/>
            <w:shd w:fill="EAF2F4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F6B78"/>
                <w:sz w:val="16"/>
              </w:rPr>
              <w:t>ESCALATE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5"/>
              </w:rPr>
              <w:t>Preserve the original message or screenshot when available. Send the report to Ana Vanterpool through the Crownridge messaging incident channel; do not forward suspicious content to patients.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Aptos" w:hAnsi="Aptos" w:eastAsia="Aptos"/>
          <w:b/>
          <w:color w:val="17365D"/>
          <w:sz w:val="22"/>
        </w:rPr>
        <w:t>Scenario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3528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Incoming situation / trigger</w:t>
            </w:r>
          </w:p>
        </w:tc>
        <w:tc>
          <w:tcPr>
            <w:tcW w:type="dxa" w:w="2088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528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Say to the patient</w:t>
            </w:r>
          </w:p>
        </w:tc>
        <w:tc>
          <w:tcPr>
            <w:tcW w:type="dxa" w:w="2592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Stop doing</w:t>
            </w:r>
          </w:p>
        </w:tc>
        <w:tc>
          <w:tcPr>
            <w:tcW w:type="dxa" w:w="3096"/>
            <w:shd w:fill="17365D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Escalate / next step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A. Routine reminder: Crownridge-looking sender and Crownridge reply-to; appointment details match the internal scheduling record; no payment or credential request.</w:t>
            </w:r>
          </w:p>
        </w:tc>
        <w:tc>
          <w:tcPr>
            <w:tcW w:type="dxa" w:w="208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Routine reminder after record check.</w:t>
            </w:r>
          </w:p>
        </w:tc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“I can confirm the appointment information in our scheduling record.”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Do not rely on the sender or reply-to alone; do not ask the patient to prove the email is real.</w:t>
            </w:r>
          </w:p>
        </w:tc>
        <w:tc>
          <w:tcPr>
            <w:tcW w:type="dxa" w:w="309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Answer appointment questions from the internal record. No incident escalation is needed for this corroborated case.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B. Unfamiliar link and non-Crownridge reply-to, even though the visible sender looks like Crownridge.</w:t>
            </w:r>
          </w:p>
        </w:tc>
        <w:tc>
          <w:tcPr>
            <w:tcW w:type="dxa" w:w="208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Suspicious. Do not act through the message.</w:t>
            </w:r>
          </w:p>
        </w:tc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“We are aware of misleading reminders. I can check your appointment in our scheduling record.”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Do not open or recommend the unfamiliar link, reply, or use a phone number supplied only in this message.</w:t>
            </w:r>
          </w:p>
        </w:tc>
        <w:tc>
          <w:tcPr>
            <w:tcW w:type="dxa" w:w="309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Keep the original or a screenshot when available; report through the Crownridge messaging incident channel to Ana Vanterpool.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C. Message appears from Crownridge but asks for payment, credentials, or a one-time code.</w:t>
            </w:r>
          </w:p>
        </w:tc>
        <w:tc>
          <w:tcPr>
            <w:tcW w:type="dxa" w:w="208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Suspicious.</w:t>
            </w:r>
          </w:p>
        </w:tc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“Please do not share payment or sign-in information from that message. I can check the appointment in our scheduling record.”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Do not request or repeat credentials, payment-card information, or one-time codes. Do not take payment through the message.</w:t>
            </w:r>
          </w:p>
        </w:tc>
        <w:tc>
          <w:tcPr>
            <w:tcW w:type="dxa" w:w="309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Preserve message/screenshot when available; report through the Crownridge messaging incident channel to Ana Vanterpool.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D. Patient already clicked a link or replied to a suspicious reminder.</w:t>
            </w:r>
          </w:p>
        </w:tc>
        <w:tc>
          <w:tcPr>
            <w:tcW w:type="dxa" w:w="208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Already interacted: use incident response.</w:t>
            </w:r>
          </w:p>
        </w:tc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“Please stop using that message. I can check your appointment in our scheduling record.”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Stop further clicking, replying, payment, or information exchange. Do not request or repeat credentials, payment-card information, or one-time codes.</w:t>
            </w:r>
          </w:p>
        </w:tc>
        <w:tc>
          <w:tcPr>
            <w:tcW w:type="dxa" w:w="309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Preserve message/screenshot when available; record the report through the Crownridge messaging incident channel to Ana Vanterpool. Do not state that an account or identity was compromised.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2F4F5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E. Hawthorne Supply marketing operations or invoice communication; not an appointment reminder.</w:t>
            </w:r>
          </w:p>
        </w:tc>
        <w:tc>
          <w:tcPr>
            <w:tcW w:type="dxa" w:w="208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2F4F5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Out of scope for patient workflow.</w:t>
            </w:r>
          </w:p>
        </w:tc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2F4F5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No patient wording: this is not a patient appointment-reminder call.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2F4F5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Do not convert this vendor item into a reminder response or tell patients it is a spoof.</w:t>
            </w:r>
          </w:p>
        </w:tc>
        <w:tc>
          <w:tcPr>
            <w:tcW w:type="dxa" w:w="309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2F4F5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Handle outside the front-desk patient workflow; it is not the same response for every Hawthorne Supply communication.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F. Crownridge reply-to, but appointment details are not sufficiently corroborated in the internal scheduling record.</w:t>
            </w:r>
          </w:p>
        </w:tc>
        <w:tc>
          <w:tcPr>
            <w:tcW w:type="dxa" w:w="208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/>
                <w:color w:val="1F2933"/>
                <w:sz w:val="13"/>
              </w:rPr>
              <w:t>Do not declare genuine; treat cautiously and escalate.</w:t>
            </w:r>
          </w:p>
        </w:tc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“I cannot confirm that message. I can check your appointment in our scheduling record.”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Do not treat the reply-to as proof. Do not direct the patient to the message link, reply destination, or any supplied phone number.</w:t>
            </w:r>
          </w:p>
        </w:tc>
        <w:tc>
          <w:tcPr>
            <w:tcW w:type="dxa" w:w="3096"/>
            <w:tcMar>
              <w:top w:w="40" w:type="dxa"/>
              <w:start w:w="50" w:type="dxa"/>
              <w:bottom w:w="40" w:type="dxa"/>
              <w:end w:w="50" w:type="dxa"/>
            </w:tcMar>
            <w:vAlign w:val="top"/>
            <w:shd w:fill="FFF7ED"/>
          </w:tcPr>
          <w:p>
            <w:pPr>
              <w:spacing w:after="0" w:line="216" w:lineRule="auto"/>
            </w:pPr>
            <w:r>
              <w:rPr>
                <w:rFonts w:ascii="Aptos" w:hAnsi="Aptos" w:eastAsia="Aptos"/>
                <w:b w:val="0"/>
                <w:color w:val="1F2933"/>
                <w:sz w:val="13"/>
              </w:rPr>
              <w:t>Preserve message/screenshot when available; report through the Crownridge messaging incident channel to Ana Vanterpool while using the internal record for appointment questions.</w:t>
            </w:r>
          </w:p>
        </w:tc>
      </w:tr>
    </w:tbl>
    <w:p>
      <w:pPr>
        <w:spacing w:before="80" w:after="0"/>
      </w:pPr>
      <w:r>
        <w:rPr>
          <w:rFonts w:ascii="Aptos" w:hAnsi="Aptos" w:eastAsia="Aptos"/>
          <w:b/>
          <w:color w:val="17365D"/>
          <w:sz w:val="15"/>
        </w:rPr>
        <w:t xml:space="preserve">Source-handling note. </w:t>
      </w:r>
      <w:r>
        <w:rPr>
          <w:rFonts w:ascii="Aptos" w:hAnsi="Aptos" w:eastAsia="Aptos"/>
          <w:b w:val="0"/>
          <w:color w:val="1F2933"/>
          <w:sz w:val="15"/>
        </w:rPr>
        <w:t>This briefing applied row-level Notes as overrides to the log’s main columns. The date/time column mixes an ISO-style timestamp with a slash-separated date/time, so no exact chronology is inferred beyond the weekend-to-Monday context. The vendor-rate field includes insignificant floating-point decimal noise; it is source metadata, not a patient fee, threshold, or authenticity test.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648" w:bottom="605" w:left="64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4"/>
      </w:rPr>
      <w:t>Internal use | Crownridge messaging incident briefing | Monday operational deadline: 7:00 a.m.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Aptos"/>
        <w:b/>
        <w:color w:val="0F6B78"/>
        <w:sz w:val="15"/>
      </w:rPr>
      <w:t>CROWNRIDGE HEALTH NETWORK  |  FRONT-DESK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