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B5C75"/>
          <w:sz w:val="38"/>
        </w:rPr>
        <w:t>ALEKSY SCHUYLER</w:t>
      </w:r>
    </w:p>
    <w:p>
      <w:pPr>
        <w:spacing w:after="60" w:line="240" w:lineRule="auto"/>
        <w:jc w:val="center"/>
      </w:pPr>
      <w:r>
        <w:rPr>
          <w:rFonts w:ascii="Arial" w:hAnsi="Arial"/>
          <w:b/>
          <w:color w:val="2B3741"/>
          <w:sz w:val="24"/>
        </w:rPr>
        <w:t>HOME FACTOR VIII DOSING &amp; BLEED-RESPONSE GUIDE</w:t>
      </w:r>
    </w:p>
    <w:p>
      <w:pPr>
        <w:spacing w:after="80" w:line="240" w:lineRule="auto"/>
        <w:jc w:val="center"/>
      </w:pPr>
      <w:r>
        <w:rPr>
          <w:rFonts w:ascii="Arial" w:hAnsi="Arial"/>
          <w:b w:val="0"/>
          <w:color w:val="4B555F"/>
          <w:sz w:val="18"/>
        </w:rPr>
        <w:t>For Iris Underwood • Use during the current plan; this sheet is education, not a new prescription.</w:t>
      </w:r>
    </w:p>
    <w:tbl>
      <w:tblPr>
        <w:tblW w:type="auto" w:w="0"/>
        <w:jc w:val="center"/>
        <w:tblLook w:firstColumn="1" w:firstRow="1" w:lastColumn="0" w:lastRow="0" w:noHBand="0" w:noVBand="1" w:val="04A0"/>
        <w:tblBorders>
          <w:top w:val="single" w:sz="8" w:space="0" w:color="E0A34A"/>
          <w:left w:val="single" w:sz="8" w:space="0" w:color="E0A34A"/>
          <w:bottom w:val="single" w:sz="8" w:space="0" w:color="E0A34A"/>
          <w:right w:val="single" w:sz="8" w:space="0" w:color="E0A34A"/>
          <w:insideH w:val="single" w:sz="8" w:space="0" w:color="E0A34A"/>
          <w:insideV w:val="single" w:sz="8" w:space="0" w:color="E0A34A"/>
        </w:tblBorders>
      </w:tblPr>
      <w:tblGrid>
        <w:gridCol w:w="10944"/>
      </w:tblGrid>
      <w:tr>
        <w:tc>
          <w:tcPr>
            <w:tcW w:type="dxa" w:w="10944"/>
            <w:shd w:fill="FFF1D6"/>
            <w:tcMar>
              <w:top w:w="80" w:type="dxa"/>
              <w:start w:w="105" w:type="dxa"/>
              <w:bottom w:w="80" w:type="dxa"/>
              <w:end w:w="105" w:type="dxa"/>
            </w:tcMar>
            <w:vAlign w:val="center"/>
          </w:tcPr>
          <w:p>
            <w:pPr>
              <w:spacing w:after="0" w:before="0"/>
            </w:pPr>
            <w:r/>
            <w:r>
              <w:rPr>
                <w:rFonts w:ascii="Arial" w:hAnsi="Arial"/>
                <w:b/>
                <w:color w:val="854600"/>
                <w:sz w:val="20"/>
              </w:rPr>
              <w:t>IF A HEAD / NECK / ABDOMINAL BLEED OR MAJOR INJURY IS POSSIBLE: call 911 / emergency services now. Give the prescribed 50 IU/kg factor promptly if it is available and you can give it safely—do not delay transport, assessment, or emergency care.</w:t>
            </w:r>
          </w:p>
        </w:tc>
      </w:tr>
    </w:tbl>
    <w:p>
      <w:pPr>
        <w:spacing w:after="0"/>
      </w:pPr>
    </w:p>
    <w:tbl>
      <w:tblPr>
        <w:tblW w:type="auto" w:w="0"/>
        <w:jc w:val="center"/>
        <w:tblLayout w:type="autofit"/>
        <w:tblLook w:firstColumn="1" w:firstRow="1" w:lastColumn="0" w:lastRow="0" w:noHBand="0" w:noVBand="1" w:val="04A0"/>
      </w:tblPr>
      <w:tblGrid>
        <w:gridCol w:w="10944"/>
      </w:tblGrid>
      <w:tr>
        <w:tc>
          <w:tcPr>
            <w:tcW w:type="dxa" w:w="10944"/>
            <w:shd w:fill="0B5C75"/>
            <w:tcMar>
              <w:top w:w="55" w:type="dxa"/>
              <w:start w:w="95" w:type="dxa"/>
              <w:bottom w:w="55" w:type="dxa"/>
              <w:end w:w="95" w:type="dxa"/>
            </w:tcMar>
            <w:vAlign w:val="center"/>
          </w:tcPr>
          <w:p>
            <w:pPr>
              <w:spacing w:after="0" w:before="0"/>
            </w:pPr>
            <w:r/>
            <w:r>
              <w:rPr>
                <w:rFonts w:ascii="Arial" w:hAnsi="Arial"/>
                <w:b/>
                <w:color w:val="FFFFFF"/>
                <w:sz w:val="24"/>
              </w:rPr>
              <w:t>1  QUICK PATH AT 2 A.M.</w:t>
            </w:r>
          </w:p>
        </w:tc>
      </w:tr>
    </w:tbl>
    <w:p>
      <w:pPr>
        <w:spacing w:after="0"/>
      </w:pPr>
    </w:p>
    <w:p>
      <w:pPr>
        <w:pStyle w:val="ListBullet"/>
        <w:spacing w:after="20" w:line="240" w:lineRule="auto"/>
        <w:ind w:left="230" w:hanging="173"/>
      </w:pPr>
      <w:r>
        <w:rPr>
          <w:rFonts w:ascii="Arial" w:hAnsi="Arial"/>
          <w:sz w:val="18"/>
        </w:rPr>
        <w:t>1. Identify the event. Joint or muscle symptoms use 25 IU/kg. Head, neck or abdominal symptoms, or a major injury, use 50 IU/kg (emergency). If unsure, call the hemostasis team—do not guess.</w:t>
      </w:r>
    </w:p>
    <w:p>
      <w:pPr>
        <w:pStyle w:val="ListBullet"/>
        <w:spacing w:after="20" w:line="240" w:lineRule="auto"/>
        <w:ind w:left="230" w:hanging="173"/>
      </w:pPr>
      <w:r>
        <w:rPr>
          <w:rFonts w:ascii="Arial" w:hAnsi="Arial"/>
          <w:sz w:val="18"/>
        </w:rPr>
        <w:t>2. Confirm today’s weight in kilograms before choosing a row. Do not estimate, round, or use a future projection. If the confirmed weight is not 24.6, 27.5, or 30 kg, call for a new dose.</w:t>
      </w:r>
    </w:p>
    <w:p>
      <w:pPr>
        <w:pStyle w:val="ListBullet"/>
        <w:spacing w:after="20" w:line="240" w:lineRule="auto"/>
        <w:ind w:left="230" w:hanging="173"/>
      </w:pPr>
      <w:r>
        <w:rPr>
          <w:rFonts w:ascii="Arial" w:hAnsi="Arial"/>
          <w:sz w:val="18"/>
        </w:rPr>
        <w:t>3. Check the stock-period box below. Read and verify the IU potency printed on every vial label. If labels do not match that box, do not substitute or improvise; call the hemostasis or pharmacy team.</w:t>
      </w:r>
    </w:p>
    <w:p>
      <w:pPr>
        <w:pStyle w:val="ListBullet"/>
        <w:spacing w:after="20" w:line="240" w:lineRule="auto"/>
        <w:ind w:left="230" w:hanging="173"/>
      </w:pPr>
      <w:r>
        <w:rPr>
          <w:rFonts w:ascii="Arial" w:hAnsi="Arial"/>
          <w:sz w:val="18"/>
        </w:rPr>
        <w:t>4. Use only whole vials. Do not split a vial or save a partial vial for a later dose. The listed total may be higher than the calculated target so the dose is not under the target.</w:t>
      </w:r>
    </w:p>
    <w:tbl>
      <w:tblPr>
        <w:tblW w:type="auto" w:w="0"/>
        <w:jc w:val="center"/>
        <w:tblLayout w:type="autofit"/>
        <w:tblLook w:firstColumn="1" w:firstRow="1" w:lastColumn="0" w:lastRow="0" w:noHBand="0" w:noVBand="1" w:val="04A0"/>
      </w:tblPr>
      <w:tblGrid>
        <w:gridCol w:w="10944"/>
      </w:tblGrid>
      <w:tr>
        <w:tc>
          <w:tcPr>
            <w:tcW w:type="dxa" w:w="10944"/>
            <w:shd w:fill="2F6F86"/>
            <w:tcMar>
              <w:top w:w="55" w:type="dxa"/>
              <w:start w:w="95" w:type="dxa"/>
              <w:bottom w:w="55" w:type="dxa"/>
              <w:end w:w="95" w:type="dxa"/>
            </w:tcMar>
            <w:vAlign w:val="center"/>
          </w:tcPr>
          <w:p>
            <w:pPr>
              <w:spacing w:after="0" w:before="0"/>
            </w:pPr>
            <w:r/>
            <w:r>
              <w:rPr>
                <w:rFonts w:ascii="Arial" w:hAnsi="Arial"/>
                <w:b/>
                <w:color w:val="FFFFFF"/>
                <w:sz w:val="21"/>
              </w:rPr>
              <w:t>2  CURRENT STOCK  |  262 IU + 536 IU + 1,048 IU</w:t>
            </w:r>
          </w:p>
        </w:tc>
      </w:tr>
    </w:tbl>
    <w:p>
      <w:pPr>
        <w:spacing w:after="0"/>
      </w:pPr>
    </w:p>
    <w:p>
      <w:pPr>
        <w:spacing w:after="40" w:line="240" w:lineRule="auto"/>
      </w:pPr>
      <w:r>
        <w:rPr>
          <w:rFonts w:ascii="Arial" w:hAnsi="Arial"/>
          <w:b w:val="0"/>
          <w:color w:val="374650"/>
          <w:sz w:val="17"/>
        </w:rPr>
        <w:t>Use this box while those three labeled strengths are in the home. Calculated IU = confirmed kg × prescribed IU/kg.</w:t>
      </w:r>
    </w:p>
    <w:tbl>
      <w:tblPr>
        <w:tblW w:type="auto" w:w="0"/>
        <w:jc w:val="center"/>
        <w:tblLayout w:type="autofit"/>
        <w:tblLook w:firstColumn="1" w:firstRow="1" w:lastColumn="0" w:lastRow="0" w:noHBand="0" w:noVBand="1" w:val="04A0"/>
      </w:tblPr>
      <w:tblGrid>
        <w:gridCol w:w="10944"/>
      </w:tblGrid>
      <w:tr>
        <w:tc>
          <w:tcPr>
            <w:tcW w:type="dxa" w:w="10944"/>
            <w:shd w:fill="2F6F86"/>
            <w:tcMar>
              <w:top w:w="55" w:type="dxa"/>
              <w:start w:w="95" w:type="dxa"/>
              <w:bottom w:w="55" w:type="dxa"/>
              <w:end w:w="95" w:type="dxa"/>
            </w:tcMar>
            <w:vAlign w:val="center"/>
          </w:tcPr>
          <w:p>
            <w:pPr>
              <w:spacing w:after="0" w:before="0"/>
            </w:pPr>
            <w:r/>
            <w:r>
              <w:rPr>
                <w:rFonts w:ascii="Arial" w:hAnsi="Arial"/>
                <w:b/>
                <w:color w:val="FFFFFF"/>
                <w:sz w:val="21"/>
              </w:rPr>
              <w:t>CURRENT STOCK — SELECT THE ROW FOR CONFIRMED WEIGHT</w:t>
            </w:r>
          </w:p>
        </w:tc>
      </w:tr>
    </w:tbl>
    <w:p>
      <w:pPr>
        <w:spacing w:after="0"/>
      </w:pPr>
    </w:p>
    <w:tbl>
      <w:tblPr>
        <w:tblW w:type="auto" w:w="0"/>
        <w:jc w:val="center"/>
        <w:tblLayout w:type="autofit"/>
        <w:tblLook w:firstColumn="1" w:firstRow="1" w:lastColumn="0" w:lastRow="0" w:noHBand="0" w:noVBand="1" w:val="04A0"/>
        <w:tblBorders>
          <w:top w:val="single" w:sz="6" w:space="0" w:color="9AA7B2"/>
          <w:left w:val="single" w:sz="6" w:space="0" w:color="9AA7B2"/>
          <w:bottom w:val="single" w:sz="6" w:space="0" w:color="9AA7B2"/>
          <w:right w:val="single" w:sz="6" w:space="0" w:color="9AA7B2"/>
          <w:insideH w:val="single" w:sz="6" w:space="0" w:color="9AA7B2"/>
          <w:insideV w:val="single" w:sz="6" w:space="0" w:color="9AA7B2"/>
        </w:tblBorders>
      </w:tblPr>
      <w:tblGrid>
        <w:gridCol w:w="2189"/>
        <w:gridCol w:w="2189"/>
        <w:gridCol w:w="2189"/>
        <w:gridCol w:w="2189"/>
        <w:gridCol w:w="2189"/>
      </w:tblGrid>
      <w:tr>
        <w:trPr>
          <w:tblHeader w:val="true"/>
        </w:trPr>
        <w:tc>
          <w:tcPr>
            <w:tcW w:type="dxa" w:w="2189"/>
            <w:shd w:fill="DCEAF0"/>
            <w:vAlign w:val="center"/>
            <w:tcMar>
              <w:top w:w="60" w:type="dxa"/>
              <w:start w:w="80" w:type="dxa"/>
              <w:bottom w:w="60" w:type="dxa"/>
              <w:end w:w="80" w:type="dxa"/>
            </w:tcMar>
          </w:tcPr>
          <w:p>
            <w:pPr>
              <w:spacing w:after="0" w:before="0"/>
            </w:pPr>
            <w:r/>
            <w:r>
              <w:rPr>
                <w:rFonts w:ascii="Arial" w:hAnsi="Arial"/>
                <w:b/>
                <w:sz w:val="15"/>
              </w:rPr>
              <w:t>Confirmed weight</w:t>
              <w:br/>
              <w:t>(kg)</w:t>
            </w:r>
          </w:p>
        </w:tc>
        <w:tc>
          <w:tcPr>
            <w:tcW w:type="dxa" w:w="2189"/>
            <w:shd w:fill="DCEAF0"/>
            <w:vAlign w:val="center"/>
            <w:tcMar>
              <w:top w:w="60" w:type="dxa"/>
              <w:start w:w="80" w:type="dxa"/>
              <w:bottom w:w="60" w:type="dxa"/>
              <w:end w:w="80" w:type="dxa"/>
            </w:tcMar>
          </w:tcPr>
          <w:p>
            <w:pPr>
              <w:spacing w:after="0" w:before="0"/>
            </w:pPr>
            <w:r/>
            <w:r>
              <w:rPr>
                <w:rFonts w:ascii="Arial" w:hAnsi="Arial"/>
                <w:b/>
                <w:sz w:val="15"/>
              </w:rPr>
              <w:t>25 IU/kg</w:t>
              <w:br/>
              <w:t>calculated (IU)</w:t>
            </w:r>
          </w:p>
        </w:tc>
        <w:tc>
          <w:tcPr>
            <w:tcW w:type="dxa" w:w="2189"/>
            <w:shd w:fill="DCEAF0"/>
            <w:vAlign w:val="center"/>
            <w:tcMar>
              <w:top w:w="60" w:type="dxa"/>
              <w:start w:w="80" w:type="dxa"/>
              <w:bottom w:w="60" w:type="dxa"/>
              <w:end w:w="80" w:type="dxa"/>
            </w:tcMar>
          </w:tcPr>
          <w:p>
            <w:pPr>
              <w:spacing w:after="0" w:before="0"/>
            </w:pPr>
            <w:r/>
            <w:r>
              <w:rPr>
                <w:rFonts w:ascii="Arial" w:hAnsi="Arial"/>
                <w:b/>
                <w:sz w:val="15"/>
              </w:rPr>
              <w:t>25 IU/kg</w:t>
              <w:br/>
              <w:t>whole vials</w:t>
            </w:r>
          </w:p>
        </w:tc>
        <w:tc>
          <w:tcPr>
            <w:tcW w:type="dxa" w:w="2189"/>
            <w:shd w:fill="DCEAF0"/>
            <w:vAlign w:val="center"/>
            <w:tcMar>
              <w:top w:w="60" w:type="dxa"/>
              <w:start w:w="80" w:type="dxa"/>
              <w:bottom w:w="60" w:type="dxa"/>
              <w:end w:w="80" w:type="dxa"/>
            </w:tcMar>
          </w:tcPr>
          <w:p>
            <w:pPr>
              <w:spacing w:after="0" w:before="0"/>
            </w:pPr>
            <w:r/>
            <w:r>
              <w:rPr>
                <w:rFonts w:ascii="Arial" w:hAnsi="Arial"/>
                <w:b/>
                <w:sz w:val="15"/>
              </w:rPr>
              <w:t>50 IU/kg</w:t>
              <w:br/>
              <w:t>calculated (IU)</w:t>
            </w:r>
          </w:p>
        </w:tc>
        <w:tc>
          <w:tcPr>
            <w:tcW w:type="dxa" w:w="2189"/>
            <w:shd w:fill="DCEAF0"/>
            <w:vAlign w:val="center"/>
            <w:tcMar>
              <w:top w:w="60" w:type="dxa"/>
              <w:start w:w="80" w:type="dxa"/>
              <w:bottom w:w="60" w:type="dxa"/>
              <w:end w:w="80" w:type="dxa"/>
            </w:tcMar>
          </w:tcPr>
          <w:p>
            <w:pPr>
              <w:spacing w:after="0" w:before="0"/>
            </w:pPr>
            <w:r/>
            <w:r>
              <w:rPr>
                <w:rFonts w:ascii="Arial" w:hAnsi="Arial"/>
                <w:b/>
                <w:sz w:val="15"/>
              </w:rPr>
              <w:t>50 IU/kg</w:t>
              <w:br/>
              <w:t>whole vials</w:t>
            </w:r>
          </w:p>
        </w:tc>
      </w:tr>
      <w:tr>
        <w:trPr>
          <w:cantSplit/>
        </w:trPr>
        <w:tc>
          <w:tcPr>
            <w:tcW w:type="dxa" w:w="2189"/>
            <w:shd w:fill="F7FAFC"/>
            <w:vAlign w:val="center"/>
            <w:tcMar>
              <w:top w:w="28" w:type="dxa"/>
              <w:start w:w="55" w:type="dxa"/>
              <w:bottom w:w="28" w:type="dxa"/>
              <w:end w:w="55" w:type="dxa"/>
            </w:tcMar>
          </w:tcPr>
          <w:p>
            <w:pPr>
              <w:spacing w:after="0" w:before="0"/>
            </w:pPr>
            <w:r/>
            <w:r>
              <w:rPr>
                <w:rFonts w:ascii="Arial" w:hAnsi="Arial"/>
                <w:b/>
                <w:sz w:val="15"/>
              </w:rPr>
              <w:t>24.6 kg</w:t>
              <w:br/>
              <w:t>(confirmed 15 Nov 2026)</w:t>
            </w:r>
          </w:p>
        </w:tc>
        <w:tc>
          <w:tcPr>
            <w:tcW w:type="dxa" w:w="2189"/>
            <w:shd w:fill="F7FAFC"/>
            <w:vAlign w:val="center"/>
            <w:tcMar>
              <w:top w:w="28" w:type="dxa"/>
              <w:start w:w="55" w:type="dxa"/>
              <w:bottom w:w="28" w:type="dxa"/>
              <w:end w:w="55" w:type="dxa"/>
            </w:tcMar>
          </w:tcPr>
          <w:p>
            <w:pPr>
              <w:spacing w:after="0" w:before="0"/>
            </w:pPr>
            <w:r/>
            <w:r>
              <w:rPr>
                <w:rFonts w:ascii="Arial" w:hAnsi="Arial"/>
                <w:b w:val="0"/>
                <w:sz w:val="15"/>
              </w:rPr>
              <w:t>615 IU</w:t>
            </w:r>
          </w:p>
        </w:tc>
        <w:tc>
          <w:tcPr>
            <w:tcW w:type="dxa" w:w="2189"/>
            <w:shd w:fill="F7FAFC"/>
            <w:vAlign w:val="center"/>
            <w:tcMar>
              <w:top w:w="28" w:type="dxa"/>
              <w:start w:w="55" w:type="dxa"/>
              <w:bottom w:w="28" w:type="dxa"/>
              <w:end w:w="55" w:type="dxa"/>
            </w:tcMar>
          </w:tcPr>
          <w:p>
            <w:pPr>
              <w:spacing w:after="0" w:before="0"/>
            </w:pPr>
            <w:r/>
            <w:r>
              <w:rPr>
                <w:rFonts w:ascii="Arial" w:hAnsi="Arial"/>
                <w:b/>
                <w:sz w:val="15"/>
              </w:rPr>
              <w:t>3 × 262 IU = 786 IU</w:t>
            </w:r>
          </w:p>
        </w:tc>
        <w:tc>
          <w:tcPr>
            <w:tcW w:type="dxa" w:w="2189"/>
            <w:shd w:fill="F7FAFC"/>
            <w:vAlign w:val="center"/>
            <w:tcMar>
              <w:top w:w="28" w:type="dxa"/>
              <w:start w:w="55" w:type="dxa"/>
              <w:bottom w:w="28" w:type="dxa"/>
              <w:end w:w="55" w:type="dxa"/>
            </w:tcMar>
          </w:tcPr>
          <w:p>
            <w:pPr>
              <w:spacing w:after="0" w:before="0"/>
            </w:pPr>
            <w:r/>
            <w:r>
              <w:rPr>
                <w:rFonts w:ascii="Arial" w:hAnsi="Arial"/>
                <w:b w:val="0"/>
                <w:sz w:val="15"/>
              </w:rPr>
              <w:t>1,230 IU</w:t>
            </w:r>
          </w:p>
        </w:tc>
        <w:tc>
          <w:tcPr>
            <w:tcW w:type="dxa" w:w="2189"/>
            <w:shd w:fill="F7FAFC"/>
            <w:vAlign w:val="center"/>
            <w:tcMar>
              <w:top w:w="28" w:type="dxa"/>
              <w:start w:w="55" w:type="dxa"/>
              <w:bottom w:w="28" w:type="dxa"/>
              <w:end w:w="55" w:type="dxa"/>
            </w:tcMar>
          </w:tcPr>
          <w:p>
            <w:pPr>
              <w:spacing w:after="0" w:before="0"/>
            </w:pPr>
            <w:r/>
            <w:r>
              <w:rPr>
                <w:rFonts w:ascii="Arial" w:hAnsi="Arial"/>
                <w:b/>
                <w:sz w:val="15"/>
              </w:rPr>
              <w:t>1 × 1,048 + 1 × 262 = 1,310 IU</w:t>
            </w:r>
          </w:p>
        </w:tc>
      </w:tr>
      <w:tr>
        <w:trPr>
          <w:cantSplit/>
        </w:trPr>
        <w:tc>
          <w:tcPr>
            <w:tcW w:type="dxa" w:w="2189"/>
            <w:shd w:fill="F7FAFC"/>
            <w:vAlign w:val="center"/>
            <w:tcMar>
              <w:top w:w="28" w:type="dxa"/>
              <w:start w:w="55" w:type="dxa"/>
              <w:bottom w:w="28" w:type="dxa"/>
              <w:end w:w="55" w:type="dxa"/>
            </w:tcMar>
          </w:tcPr>
          <w:p>
            <w:pPr>
              <w:spacing w:after="0" w:before="0"/>
            </w:pPr>
            <w:r/>
            <w:r>
              <w:rPr>
                <w:rFonts w:ascii="Arial" w:hAnsi="Arial"/>
                <w:b/>
                <w:sz w:val="15"/>
              </w:rPr>
              <w:t>27.5 kg</w:t>
              <w:br/>
              <w:t>(PROJECTION—use only after weight is confirmed)</w:t>
            </w:r>
          </w:p>
        </w:tc>
        <w:tc>
          <w:tcPr>
            <w:tcW w:type="dxa" w:w="2189"/>
            <w:shd w:fill="F7FAFC"/>
            <w:vAlign w:val="center"/>
            <w:tcMar>
              <w:top w:w="28" w:type="dxa"/>
              <w:start w:w="55" w:type="dxa"/>
              <w:bottom w:w="28" w:type="dxa"/>
              <w:end w:w="55" w:type="dxa"/>
            </w:tcMar>
          </w:tcPr>
          <w:p>
            <w:pPr>
              <w:spacing w:after="0" w:before="0"/>
            </w:pPr>
            <w:r/>
            <w:r>
              <w:rPr>
                <w:rFonts w:ascii="Arial" w:hAnsi="Arial"/>
                <w:b w:val="0"/>
                <w:sz w:val="15"/>
              </w:rPr>
              <w:t>687.5 IU</w:t>
            </w:r>
          </w:p>
        </w:tc>
        <w:tc>
          <w:tcPr>
            <w:tcW w:type="dxa" w:w="2189"/>
            <w:shd w:fill="F7FAFC"/>
            <w:vAlign w:val="center"/>
            <w:tcMar>
              <w:top w:w="28" w:type="dxa"/>
              <w:start w:w="55" w:type="dxa"/>
              <w:bottom w:w="28" w:type="dxa"/>
              <w:end w:w="55" w:type="dxa"/>
            </w:tcMar>
          </w:tcPr>
          <w:p>
            <w:pPr>
              <w:spacing w:after="0" w:before="0"/>
            </w:pPr>
            <w:r/>
            <w:r>
              <w:rPr>
                <w:rFonts w:ascii="Arial" w:hAnsi="Arial"/>
                <w:b/>
                <w:sz w:val="15"/>
              </w:rPr>
              <w:t>3 × 262 IU = 786 IU</w:t>
            </w:r>
          </w:p>
        </w:tc>
        <w:tc>
          <w:tcPr>
            <w:tcW w:type="dxa" w:w="2189"/>
            <w:shd w:fill="F7FAFC"/>
            <w:vAlign w:val="center"/>
            <w:tcMar>
              <w:top w:w="28" w:type="dxa"/>
              <w:start w:w="55" w:type="dxa"/>
              <w:bottom w:w="28" w:type="dxa"/>
              <w:end w:w="55" w:type="dxa"/>
            </w:tcMar>
          </w:tcPr>
          <w:p>
            <w:pPr>
              <w:spacing w:after="0" w:before="0"/>
            </w:pPr>
            <w:r/>
            <w:r>
              <w:rPr>
                <w:rFonts w:ascii="Arial" w:hAnsi="Arial"/>
                <w:b w:val="0"/>
                <w:sz w:val="15"/>
              </w:rPr>
              <w:t>1,375 IU</w:t>
            </w:r>
          </w:p>
        </w:tc>
        <w:tc>
          <w:tcPr>
            <w:tcW w:type="dxa" w:w="2189"/>
            <w:shd w:fill="F7FAFC"/>
            <w:vAlign w:val="center"/>
            <w:tcMar>
              <w:top w:w="28" w:type="dxa"/>
              <w:start w:w="55" w:type="dxa"/>
              <w:bottom w:w="28" w:type="dxa"/>
              <w:end w:w="55" w:type="dxa"/>
            </w:tcMar>
          </w:tcPr>
          <w:p>
            <w:pPr>
              <w:spacing w:after="0" w:before="0"/>
            </w:pPr>
            <w:r/>
            <w:r>
              <w:rPr>
                <w:rFonts w:ascii="Arial" w:hAnsi="Arial"/>
                <w:b/>
                <w:sz w:val="15"/>
              </w:rPr>
              <w:t>1 × 1,048 + 2 × 262 = 1,572 IU</w:t>
            </w:r>
          </w:p>
        </w:tc>
      </w:tr>
      <w:tr>
        <w:trPr>
          <w:cantSplit/>
        </w:trPr>
        <w:tc>
          <w:tcPr>
            <w:tcW w:type="dxa" w:w="2189"/>
            <w:shd w:fill="F7FAFC"/>
            <w:vAlign w:val="center"/>
            <w:tcMar>
              <w:top w:w="28" w:type="dxa"/>
              <w:start w:w="55" w:type="dxa"/>
              <w:bottom w:w="28" w:type="dxa"/>
              <w:end w:w="55" w:type="dxa"/>
            </w:tcMar>
          </w:tcPr>
          <w:p>
            <w:pPr>
              <w:spacing w:after="0" w:before="0"/>
            </w:pPr>
            <w:r/>
            <w:r>
              <w:rPr>
                <w:rFonts w:ascii="Arial" w:hAnsi="Arial"/>
                <w:b/>
                <w:sz w:val="15"/>
              </w:rPr>
              <w:t>30 kg</w:t>
              <w:br/>
              <w:t>(PROJECTION—use only after weight is confirmed)</w:t>
            </w:r>
          </w:p>
        </w:tc>
        <w:tc>
          <w:tcPr>
            <w:tcW w:type="dxa" w:w="2189"/>
            <w:shd w:fill="F7FAFC"/>
            <w:vAlign w:val="center"/>
            <w:tcMar>
              <w:top w:w="28" w:type="dxa"/>
              <w:start w:w="55" w:type="dxa"/>
              <w:bottom w:w="28" w:type="dxa"/>
              <w:end w:w="55" w:type="dxa"/>
            </w:tcMar>
          </w:tcPr>
          <w:p>
            <w:pPr>
              <w:spacing w:after="0" w:before="0"/>
            </w:pPr>
            <w:r/>
            <w:r>
              <w:rPr>
                <w:rFonts w:ascii="Arial" w:hAnsi="Arial"/>
                <w:b w:val="0"/>
                <w:sz w:val="15"/>
              </w:rPr>
              <w:t>750 IU</w:t>
            </w:r>
          </w:p>
        </w:tc>
        <w:tc>
          <w:tcPr>
            <w:tcW w:type="dxa" w:w="2189"/>
            <w:shd w:fill="F7FAFC"/>
            <w:vAlign w:val="center"/>
            <w:tcMar>
              <w:top w:w="28" w:type="dxa"/>
              <w:start w:w="55" w:type="dxa"/>
              <w:bottom w:w="28" w:type="dxa"/>
              <w:end w:w="55" w:type="dxa"/>
            </w:tcMar>
          </w:tcPr>
          <w:p>
            <w:pPr>
              <w:spacing w:after="0" w:before="0"/>
            </w:pPr>
            <w:r/>
            <w:r>
              <w:rPr>
                <w:rFonts w:ascii="Arial" w:hAnsi="Arial"/>
                <w:b/>
                <w:sz w:val="15"/>
              </w:rPr>
              <w:t>3 × 262 IU = 786 IU</w:t>
            </w:r>
          </w:p>
        </w:tc>
        <w:tc>
          <w:tcPr>
            <w:tcW w:type="dxa" w:w="2189"/>
            <w:shd w:fill="F7FAFC"/>
            <w:vAlign w:val="center"/>
            <w:tcMar>
              <w:top w:w="28" w:type="dxa"/>
              <w:start w:w="55" w:type="dxa"/>
              <w:bottom w:w="28" w:type="dxa"/>
              <w:end w:w="55" w:type="dxa"/>
            </w:tcMar>
          </w:tcPr>
          <w:p>
            <w:pPr>
              <w:spacing w:after="0" w:before="0"/>
            </w:pPr>
            <w:r/>
            <w:r>
              <w:rPr>
                <w:rFonts w:ascii="Arial" w:hAnsi="Arial"/>
                <w:b w:val="0"/>
                <w:sz w:val="15"/>
              </w:rPr>
              <w:t>1,500 IU</w:t>
            </w:r>
          </w:p>
        </w:tc>
        <w:tc>
          <w:tcPr>
            <w:tcW w:type="dxa" w:w="2189"/>
            <w:shd w:fill="F7FAFC"/>
            <w:vAlign w:val="center"/>
            <w:tcMar>
              <w:top w:w="28" w:type="dxa"/>
              <w:start w:w="55" w:type="dxa"/>
              <w:bottom w:w="28" w:type="dxa"/>
              <w:end w:w="55" w:type="dxa"/>
            </w:tcMar>
          </w:tcPr>
          <w:p>
            <w:pPr>
              <w:spacing w:after="0" w:before="0"/>
            </w:pPr>
            <w:r/>
            <w:r>
              <w:rPr>
                <w:rFonts w:ascii="Arial" w:hAnsi="Arial"/>
                <w:b/>
                <w:sz w:val="15"/>
              </w:rPr>
              <w:t>1 × 1,048 + 2 × 262 = 1,572 IU</w:t>
            </w:r>
          </w:p>
        </w:tc>
      </w:tr>
    </w:tbl>
    <w:p>
      <w:pPr>
        <w:spacing w:after="40" w:line="240" w:lineRule="auto"/>
      </w:pPr>
      <w:r>
        <w:rPr>
          <w:rFonts w:ascii="Arial" w:hAnsi="Arial"/>
          <w:i/>
          <w:sz w:val="17"/>
        </w:rPr>
        <w:t>“Whole vials” means use the listed combination in full. It must meet or exceed the calculated dose; never split or save a partial vial.</w:t>
      </w:r>
    </w:p>
    <w:tbl>
      <w:tblPr>
        <w:tblW w:type="auto" w:w="0"/>
        <w:jc w:val="center"/>
        <w:tblLayout w:type="autofit"/>
        <w:tblLook w:firstColumn="1" w:firstRow="1" w:lastColumn="0" w:lastRow="0" w:noHBand="0" w:noVBand="1" w:val="04A0"/>
      </w:tblPr>
      <w:tblGrid>
        <w:gridCol w:w="10944"/>
      </w:tblGrid>
      <w:tr>
        <w:tc>
          <w:tcPr>
            <w:tcW w:type="dxa" w:w="10944"/>
            <w:shd w:fill="657B35"/>
            <w:tcMar>
              <w:top w:w="55" w:type="dxa"/>
              <w:start w:w="95" w:type="dxa"/>
              <w:bottom w:w="55" w:type="dxa"/>
              <w:end w:w="95" w:type="dxa"/>
            </w:tcMar>
            <w:vAlign w:val="center"/>
          </w:tcPr>
          <w:p>
            <w:pPr>
              <w:spacing w:after="0" w:before="0"/>
            </w:pPr>
            <w:r/>
            <w:r>
              <w:rPr>
                <w:rFonts w:ascii="Arial" w:hAnsi="Arial"/>
                <w:b/>
                <w:color w:val="FFFFFF"/>
                <w:sz w:val="21"/>
              </w:rPr>
              <w:t>3  EXPECTED PHARMACY CHANGE  |  FROM 1 JANUARY 2027</w:t>
            </w:r>
          </w:p>
        </w:tc>
      </w:tr>
    </w:tbl>
    <w:p>
      <w:pPr>
        <w:spacing w:after="0"/>
      </w:pPr>
    </w:p>
    <w:p>
      <w:pPr>
        <w:spacing w:after="40" w:line="240" w:lineRule="auto"/>
      </w:pPr>
      <w:r>
        <w:rPr>
          <w:rFonts w:ascii="Arial" w:hAnsi="Arial"/>
          <w:b w:val="0"/>
          <w:color w:val="374650"/>
          <w:sz w:val="17"/>
        </w:rPr>
        <w:t>Anvilcross Engineering Specialty Pharmacy expects to dispense only 536 IU and 1,048 IU. This is a planned change, not a guarantee that a different label cannot arrive. Use the actual labeled stock supplied; if it differs, call before choosing.</w:t>
      </w:r>
    </w:p>
    <w:tbl>
      <w:tblPr>
        <w:tblW w:type="auto" w:w="0"/>
        <w:jc w:val="center"/>
        <w:tblLayout w:type="autofit"/>
        <w:tblLook w:firstColumn="1" w:firstRow="1" w:lastColumn="0" w:lastRow="0" w:noHBand="0" w:noVBand="1" w:val="04A0"/>
      </w:tblPr>
      <w:tblGrid>
        <w:gridCol w:w="10944"/>
      </w:tblGrid>
      <w:tr>
        <w:tc>
          <w:tcPr>
            <w:tcW w:type="dxa" w:w="10944"/>
            <w:shd w:fill="657B35"/>
            <w:tcMar>
              <w:top w:w="55" w:type="dxa"/>
              <w:start w:w="95" w:type="dxa"/>
              <w:bottom w:w="55" w:type="dxa"/>
              <w:end w:w="95" w:type="dxa"/>
            </w:tcMar>
            <w:vAlign w:val="center"/>
          </w:tcPr>
          <w:p>
            <w:pPr>
              <w:spacing w:after="0" w:before="0"/>
            </w:pPr>
            <w:r/>
            <w:r>
              <w:rPr>
                <w:rFonts w:ascii="Arial" w:hAnsi="Arial"/>
                <w:b/>
                <w:color w:val="FFFFFF"/>
                <w:sz w:val="21"/>
              </w:rPr>
              <w:t>EXPECTED POST-TRANSITION STOCK — 536 IU + 1,048 IU ONLY</w:t>
            </w:r>
          </w:p>
        </w:tc>
      </w:tr>
    </w:tbl>
    <w:p>
      <w:pPr>
        <w:spacing w:after="0"/>
      </w:pPr>
    </w:p>
    <w:tbl>
      <w:tblPr>
        <w:tblW w:type="auto" w:w="0"/>
        <w:jc w:val="center"/>
        <w:tblLayout w:type="autofit"/>
        <w:tblLook w:firstColumn="1" w:firstRow="1" w:lastColumn="0" w:lastRow="0" w:noHBand="0" w:noVBand="1" w:val="04A0"/>
        <w:tblBorders>
          <w:top w:val="single" w:sz="6" w:space="0" w:color="9AA7B2"/>
          <w:left w:val="single" w:sz="6" w:space="0" w:color="9AA7B2"/>
          <w:bottom w:val="single" w:sz="6" w:space="0" w:color="9AA7B2"/>
          <w:right w:val="single" w:sz="6" w:space="0" w:color="9AA7B2"/>
          <w:insideH w:val="single" w:sz="6" w:space="0" w:color="9AA7B2"/>
          <w:insideV w:val="single" w:sz="6" w:space="0" w:color="9AA7B2"/>
        </w:tblBorders>
      </w:tblPr>
      <w:tblGrid>
        <w:gridCol w:w="2189"/>
        <w:gridCol w:w="2189"/>
        <w:gridCol w:w="2189"/>
        <w:gridCol w:w="2189"/>
        <w:gridCol w:w="2189"/>
      </w:tblGrid>
      <w:tr>
        <w:trPr>
          <w:tblHeader w:val="true"/>
        </w:trPr>
        <w:tc>
          <w:tcPr>
            <w:tcW w:type="dxa" w:w="2189"/>
            <w:shd w:fill="E8EEDB"/>
            <w:vAlign w:val="center"/>
            <w:tcMar>
              <w:top w:w="60" w:type="dxa"/>
              <w:start w:w="80" w:type="dxa"/>
              <w:bottom w:w="60" w:type="dxa"/>
              <w:end w:w="80" w:type="dxa"/>
            </w:tcMar>
          </w:tcPr>
          <w:p>
            <w:pPr>
              <w:spacing w:after="0" w:before="0"/>
            </w:pPr>
            <w:r/>
            <w:r>
              <w:rPr>
                <w:rFonts w:ascii="Arial" w:hAnsi="Arial"/>
                <w:b/>
                <w:sz w:val="15"/>
              </w:rPr>
              <w:t>Confirmed weight</w:t>
              <w:br/>
              <w:t>(kg)</w:t>
            </w:r>
          </w:p>
        </w:tc>
        <w:tc>
          <w:tcPr>
            <w:tcW w:type="dxa" w:w="2189"/>
            <w:shd w:fill="E8EEDB"/>
            <w:vAlign w:val="center"/>
            <w:tcMar>
              <w:top w:w="60" w:type="dxa"/>
              <w:start w:w="80" w:type="dxa"/>
              <w:bottom w:w="60" w:type="dxa"/>
              <w:end w:w="80" w:type="dxa"/>
            </w:tcMar>
          </w:tcPr>
          <w:p>
            <w:pPr>
              <w:spacing w:after="0" w:before="0"/>
            </w:pPr>
            <w:r/>
            <w:r>
              <w:rPr>
                <w:rFonts w:ascii="Arial" w:hAnsi="Arial"/>
                <w:b/>
                <w:sz w:val="15"/>
              </w:rPr>
              <w:t>25 IU/kg</w:t>
              <w:br/>
              <w:t>calculated (IU)</w:t>
            </w:r>
          </w:p>
        </w:tc>
        <w:tc>
          <w:tcPr>
            <w:tcW w:type="dxa" w:w="2189"/>
            <w:shd w:fill="E8EEDB"/>
            <w:vAlign w:val="center"/>
            <w:tcMar>
              <w:top w:w="60" w:type="dxa"/>
              <w:start w:w="80" w:type="dxa"/>
              <w:bottom w:w="60" w:type="dxa"/>
              <w:end w:w="80" w:type="dxa"/>
            </w:tcMar>
          </w:tcPr>
          <w:p>
            <w:pPr>
              <w:spacing w:after="0" w:before="0"/>
            </w:pPr>
            <w:r/>
            <w:r>
              <w:rPr>
                <w:rFonts w:ascii="Arial" w:hAnsi="Arial"/>
                <w:b/>
                <w:sz w:val="15"/>
              </w:rPr>
              <w:t>25 IU/kg</w:t>
              <w:br/>
              <w:t>whole vials</w:t>
            </w:r>
          </w:p>
        </w:tc>
        <w:tc>
          <w:tcPr>
            <w:tcW w:type="dxa" w:w="2189"/>
            <w:shd w:fill="E8EEDB"/>
            <w:vAlign w:val="center"/>
            <w:tcMar>
              <w:top w:w="60" w:type="dxa"/>
              <w:start w:w="80" w:type="dxa"/>
              <w:bottom w:w="60" w:type="dxa"/>
              <w:end w:w="80" w:type="dxa"/>
            </w:tcMar>
          </w:tcPr>
          <w:p>
            <w:pPr>
              <w:spacing w:after="0" w:before="0"/>
            </w:pPr>
            <w:r/>
            <w:r>
              <w:rPr>
                <w:rFonts w:ascii="Arial" w:hAnsi="Arial"/>
                <w:b/>
                <w:sz w:val="15"/>
              </w:rPr>
              <w:t>50 IU/kg</w:t>
              <w:br/>
              <w:t>calculated (IU)</w:t>
            </w:r>
          </w:p>
        </w:tc>
        <w:tc>
          <w:tcPr>
            <w:tcW w:type="dxa" w:w="2189"/>
            <w:shd w:fill="E8EEDB"/>
            <w:vAlign w:val="center"/>
            <w:tcMar>
              <w:top w:w="60" w:type="dxa"/>
              <w:start w:w="80" w:type="dxa"/>
              <w:bottom w:w="60" w:type="dxa"/>
              <w:end w:w="80" w:type="dxa"/>
            </w:tcMar>
          </w:tcPr>
          <w:p>
            <w:pPr>
              <w:spacing w:after="0" w:before="0"/>
            </w:pPr>
            <w:r/>
            <w:r>
              <w:rPr>
                <w:rFonts w:ascii="Arial" w:hAnsi="Arial"/>
                <w:b/>
                <w:sz w:val="15"/>
              </w:rPr>
              <w:t>50 IU/kg</w:t>
              <w:br/>
              <w:t>whole vials</w:t>
            </w:r>
          </w:p>
        </w:tc>
      </w:tr>
      <w:tr>
        <w:trPr>
          <w:cantSplit/>
        </w:trPr>
        <w:tc>
          <w:tcPr>
            <w:tcW w:type="dxa" w:w="2189"/>
            <w:shd w:fill="F8FAF3"/>
            <w:vAlign w:val="center"/>
            <w:tcMar>
              <w:top w:w="28" w:type="dxa"/>
              <w:start w:w="55" w:type="dxa"/>
              <w:bottom w:w="28" w:type="dxa"/>
              <w:end w:w="55" w:type="dxa"/>
            </w:tcMar>
          </w:tcPr>
          <w:p>
            <w:pPr>
              <w:spacing w:after="0" w:before="0"/>
            </w:pPr>
            <w:r/>
            <w:r>
              <w:rPr>
                <w:rFonts w:ascii="Arial" w:hAnsi="Arial"/>
                <w:b/>
                <w:sz w:val="15"/>
              </w:rPr>
              <w:t>24.6 kg</w:t>
              <w:br/>
              <w:t>(confirmed 15 Nov 2026)</w:t>
            </w:r>
          </w:p>
        </w:tc>
        <w:tc>
          <w:tcPr>
            <w:tcW w:type="dxa" w:w="2189"/>
            <w:shd w:fill="F8FAF3"/>
            <w:vAlign w:val="center"/>
            <w:tcMar>
              <w:top w:w="28" w:type="dxa"/>
              <w:start w:w="55" w:type="dxa"/>
              <w:bottom w:w="28" w:type="dxa"/>
              <w:end w:w="55" w:type="dxa"/>
            </w:tcMar>
          </w:tcPr>
          <w:p>
            <w:pPr>
              <w:spacing w:after="0" w:before="0"/>
            </w:pPr>
            <w:r/>
            <w:r>
              <w:rPr>
                <w:rFonts w:ascii="Arial" w:hAnsi="Arial"/>
                <w:b w:val="0"/>
                <w:sz w:val="15"/>
              </w:rPr>
              <w:t>615 IU</w:t>
            </w:r>
          </w:p>
        </w:tc>
        <w:tc>
          <w:tcPr>
            <w:tcW w:type="dxa" w:w="2189"/>
            <w:shd w:fill="F8FAF3"/>
            <w:vAlign w:val="center"/>
            <w:tcMar>
              <w:top w:w="28" w:type="dxa"/>
              <w:start w:w="55" w:type="dxa"/>
              <w:bottom w:w="28" w:type="dxa"/>
              <w:end w:w="55" w:type="dxa"/>
            </w:tcMar>
          </w:tcPr>
          <w:p>
            <w:pPr>
              <w:spacing w:after="0" w:before="0"/>
            </w:pPr>
            <w:r/>
            <w:r>
              <w:rPr>
                <w:rFonts w:ascii="Arial" w:hAnsi="Arial"/>
                <w:b/>
                <w:sz w:val="15"/>
              </w:rPr>
              <w:t>1 × 1,048 IU = 1,048 IU</w:t>
            </w:r>
          </w:p>
        </w:tc>
        <w:tc>
          <w:tcPr>
            <w:tcW w:type="dxa" w:w="2189"/>
            <w:shd w:fill="F8FAF3"/>
            <w:vAlign w:val="center"/>
            <w:tcMar>
              <w:top w:w="28" w:type="dxa"/>
              <w:start w:w="55" w:type="dxa"/>
              <w:bottom w:w="28" w:type="dxa"/>
              <w:end w:w="55" w:type="dxa"/>
            </w:tcMar>
          </w:tcPr>
          <w:p>
            <w:pPr>
              <w:spacing w:after="0" w:before="0"/>
            </w:pPr>
            <w:r/>
            <w:r>
              <w:rPr>
                <w:rFonts w:ascii="Arial" w:hAnsi="Arial"/>
                <w:b w:val="0"/>
                <w:sz w:val="15"/>
              </w:rPr>
              <w:t>1,230 IU</w:t>
            </w:r>
          </w:p>
        </w:tc>
        <w:tc>
          <w:tcPr>
            <w:tcW w:type="dxa" w:w="2189"/>
            <w:shd w:fill="F8FAF3"/>
            <w:vAlign w:val="center"/>
            <w:tcMar>
              <w:top w:w="28" w:type="dxa"/>
              <w:start w:w="55" w:type="dxa"/>
              <w:bottom w:w="28" w:type="dxa"/>
              <w:end w:w="55" w:type="dxa"/>
            </w:tcMar>
          </w:tcPr>
          <w:p>
            <w:pPr>
              <w:spacing w:after="0" w:before="0"/>
            </w:pPr>
            <w:r/>
            <w:r>
              <w:rPr>
                <w:rFonts w:ascii="Arial" w:hAnsi="Arial"/>
                <w:b/>
                <w:sz w:val="15"/>
              </w:rPr>
              <w:t>1 × 1,048 + 1 × 536 = 1,584 IU</w:t>
            </w:r>
          </w:p>
        </w:tc>
      </w:tr>
      <w:tr>
        <w:trPr>
          <w:cantSplit/>
        </w:trPr>
        <w:tc>
          <w:tcPr>
            <w:tcW w:type="dxa" w:w="2189"/>
            <w:shd w:fill="F8FAF3"/>
            <w:vAlign w:val="center"/>
            <w:tcMar>
              <w:top w:w="28" w:type="dxa"/>
              <w:start w:w="55" w:type="dxa"/>
              <w:bottom w:w="28" w:type="dxa"/>
              <w:end w:w="55" w:type="dxa"/>
            </w:tcMar>
          </w:tcPr>
          <w:p>
            <w:pPr>
              <w:spacing w:after="0" w:before="0"/>
            </w:pPr>
            <w:r/>
            <w:r>
              <w:rPr>
                <w:rFonts w:ascii="Arial" w:hAnsi="Arial"/>
                <w:b/>
                <w:sz w:val="15"/>
              </w:rPr>
              <w:t>27.5 kg</w:t>
              <w:br/>
              <w:t>(PROJECTION—use only after weight is confirmed)</w:t>
            </w:r>
          </w:p>
        </w:tc>
        <w:tc>
          <w:tcPr>
            <w:tcW w:type="dxa" w:w="2189"/>
            <w:shd w:fill="F8FAF3"/>
            <w:vAlign w:val="center"/>
            <w:tcMar>
              <w:top w:w="28" w:type="dxa"/>
              <w:start w:w="55" w:type="dxa"/>
              <w:bottom w:w="28" w:type="dxa"/>
              <w:end w:w="55" w:type="dxa"/>
            </w:tcMar>
          </w:tcPr>
          <w:p>
            <w:pPr>
              <w:spacing w:after="0" w:before="0"/>
            </w:pPr>
            <w:r/>
            <w:r>
              <w:rPr>
                <w:rFonts w:ascii="Arial" w:hAnsi="Arial"/>
                <w:b w:val="0"/>
                <w:sz w:val="15"/>
              </w:rPr>
              <w:t>687.5 IU</w:t>
            </w:r>
          </w:p>
        </w:tc>
        <w:tc>
          <w:tcPr>
            <w:tcW w:type="dxa" w:w="2189"/>
            <w:shd w:fill="F8FAF3"/>
            <w:vAlign w:val="center"/>
            <w:tcMar>
              <w:top w:w="28" w:type="dxa"/>
              <w:start w:w="55" w:type="dxa"/>
              <w:bottom w:w="28" w:type="dxa"/>
              <w:end w:w="55" w:type="dxa"/>
            </w:tcMar>
          </w:tcPr>
          <w:p>
            <w:pPr>
              <w:spacing w:after="0" w:before="0"/>
            </w:pPr>
            <w:r/>
            <w:r>
              <w:rPr>
                <w:rFonts w:ascii="Arial" w:hAnsi="Arial"/>
                <w:b/>
                <w:sz w:val="15"/>
              </w:rPr>
              <w:t>1 × 1,048 IU = 1,048 IU</w:t>
            </w:r>
          </w:p>
        </w:tc>
        <w:tc>
          <w:tcPr>
            <w:tcW w:type="dxa" w:w="2189"/>
            <w:shd w:fill="F8FAF3"/>
            <w:vAlign w:val="center"/>
            <w:tcMar>
              <w:top w:w="28" w:type="dxa"/>
              <w:start w:w="55" w:type="dxa"/>
              <w:bottom w:w="28" w:type="dxa"/>
              <w:end w:w="55" w:type="dxa"/>
            </w:tcMar>
          </w:tcPr>
          <w:p>
            <w:pPr>
              <w:spacing w:after="0" w:before="0"/>
            </w:pPr>
            <w:r/>
            <w:r>
              <w:rPr>
                <w:rFonts w:ascii="Arial" w:hAnsi="Arial"/>
                <w:b w:val="0"/>
                <w:sz w:val="15"/>
              </w:rPr>
              <w:t>1,375 IU</w:t>
            </w:r>
          </w:p>
        </w:tc>
        <w:tc>
          <w:tcPr>
            <w:tcW w:type="dxa" w:w="2189"/>
            <w:shd w:fill="F8FAF3"/>
            <w:vAlign w:val="center"/>
            <w:tcMar>
              <w:top w:w="28" w:type="dxa"/>
              <w:start w:w="55" w:type="dxa"/>
              <w:bottom w:w="28" w:type="dxa"/>
              <w:end w:w="55" w:type="dxa"/>
            </w:tcMar>
          </w:tcPr>
          <w:p>
            <w:pPr>
              <w:spacing w:after="0" w:before="0"/>
            </w:pPr>
            <w:r/>
            <w:r>
              <w:rPr>
                <w:rFonts w:ascii="Arial" w:hAnsi="Arial"/>
                <w:b/>
                <w:sz w:val="15"/>
              </w:rPr>
              <w:t>1 × 1,048 + 1 × 536 = 1,584 IU</w:t>
            </w:r>
          </w:p>
        </w:tc>
      </w:tr>
      <w:tr>
        <w:trPr>
          <w:cantSplit/>
        </w:trPr>
        <w:tc>
          <w:tcPr>
            <w:tcW w:type="dxa" w:w="2189"/>
            <w:shd w:fill="F8FAF3"/>
            <w:vAlign w:val="center"/>
            <w:tcMar>
              <w:top w:w="28" w:type="dxa"/>
              <w:start w:w="55" w:type="dxa"/>
              <w:bottom w:w="28" w:type="dxa"/>
              <w:end w:w="55" w:type="dxa"/>
            </w:tcMar>
          </w:tcPr>
          <w:p>
            <w:pPr>
              <w:spacing w:after="0" w:before="0"/>
            </w:pPr>
            <w:r/>
            <w:r>
              <w:rPr>
                <w:rFonts w:ascii="Arial" w:hAnsi="Arial"/>
                <w:b/>
                <w:sz w:val="15"/>
              </w:rPr>
              <w:t>30 kg</w:t>
              <w:br/>
              <w:t>(PROJECTION—use only after weight is confirmed)</w:t>
            </w:r>
          </w:p>
        </w:tc>
        <w:tc>
          <w:tcPr>
            <w:tcW w:type="dxa" w:w="2189"/>
            <w:shd w:fill="F8FAF3"/>
            <w:vAlign w:val="center"/>
            <w:tcMar>
              <w:top w:w="28" w:type="dxa"/>
              <w:start w:w="55" w:type="dxa"/>
              <w:bottom w:w="28" w:type="dxa"/>
              <w:end w:w="55" w:type="dxa"/>
            </w:tcMar>
          </w:tcPr>
          <w:p>
            <w:pPr>
              <w:spacing w:after="0" w:before="0"/>
            </w:pPr>
            <w:r/>
            <w:r>
              <w:rPr>
                <w:rFonts w:ascii="Arial" w:hAnsi="Arial"/>
                <w:b w:val="0"/>
                <w:sz w:val="15"/>
              </w:rPr>
              <w:t>750 IU</w:t>
            </w:r>
          </w:p>
        </w:tc>
        <w:tc>
          <w:tcPr>
            <w:tcW w:type="dxa" w:w="2189"/>
            <w:shd w:fill="F8FAF3"/>
            <w:vAlign w:val="center"/>
            <w:tcMar>
              <w:top w:w="28" w:type="dxa"/>
              <w:start w:w="55" w:type="dxa"/>
              <w:bottom w:w="28" w:type="dxa"/>
              <w:end w:w="55" w:type="dxa"/>
            </w:tcMar>
          </w:tcPr>
          <w:p>
            <w:pPr>
              <w:spacing w:after="0" w:before="0"/>
            </w:pPr>
            <w:r/>
            <w:r>
              <w:rPr>
                <w:rFonts w:ascii="Arial" w:hAnsi="Arial"/>
                <w:b/>
                <w:sz w:val="15"/>
              </w:rPr>
              <w:t>1 × 1,048 IU = 1,048 IU</w:t>
            </w:r>
          </w:p>
        </w:tc>
        <w:tc>
          <w:tcPr>
            <w:tcW w:type="dxa" w:w="2189"/>
            <w:shd w:fill="F8FAF3"/>
            <w:vAlign w:val="center"/>
            <w:tcMar>
              <w:top w:w="28" w:type="dxa"/>
              <w:start w:w="55" w:type="dxa"/>
              <w:bottom w:w="28" w:type="dxa"/>
              <w:end w:w="55" w:type="dxa"/>
            </w:tcMar>
          </w:tcPr>
          <w:p>
            <w:pPr>
              <w:spacing w:after="0" w:before="0"/>
            </w:pPr>
            <w:r/>
            <w:r>
              <w:rPr>
                <w:rFonts w:ascii="Arial" w:hAnsi="Arial"/>
                <w:b w:val="0"/>
                <w:sz w:val="15"/>
              </w:rPr>
              <w:t>1,500 IU</w:t>
            </w:r>
          </w:p>
        </w:tc>
        <w:tc>
          <w:tcPr>
            <w:tcW w:type="dxa" w:w="2189"/>
            <w:shd w:fill="F8FAF3"/>
            <w:vAlign w:val="center"/>
            <w:tcMar>
              <w:top w:w="28" w:type="dxa"/>
              <w:start w:w="55" w:type="dxa"/>
              <w:bottom w:w="28" w:type="dxa"/>
              <w:end w:w="55" w:type="dxa"/>
            </w:tcMar>
          </w:tcPr>
          <w:p>
            <w:pPr>
              <w:spacing w:after="0" w:before="0"/>
            </w:pPr>
            <w:r/>
            <w:r>
              <w:rPr>
                <w:rFonts w:ascii="Arial" w:hAnsi="Arial"/>
                <w:b/>
                <w:sz w:val="15"/>
              </w:rPr>
              <w:t>1 × 1,048 + 1 × 536 = 1,584 IU</w:t>
            </w:r>
          </w:p>
        </w:tc>
      </w:tr>
    </w:tbl>
    <w:p>
      <w:pPr>
        <w:spacing w:after="0" w:line="240" w:lineRule="auto"/>
      </w:pPr>
      <w:r>
        <w:rPr>
          <w:rFonts w:ascii="Arial" w:hAnsi="Arial"/>
          <w:b/>
          <w:color w:val="784B14"/>
          <w:sz w:val="17"/>
        </w:rPr>
        <w:t>Projected rows (27.5 kg and 30 kg) are planning aids only. They become usable only after that exact weight is confirmed and the treating team’s plan remains current.</w:t>
      </w:r>
    </w:p>
    <w:tbl>
      <w:tblPr>
        <w:tblW w:type="auto" w:w="0"/>
        <w:jc w:val="center"/>
        <w:tblLayout w:type="autofit"/>
        <w:tblLook w:firstColumn="1" w:firstRow="1" w:lastColumn="0" w:lastRow="0" w:noHBand="0" w:noVBand="1" w:val="04A0"/>
      </w:tblPr>
      <w:tblGrid>
        <w:gridCol w:w="10944"/>
      </w:tblGrid>
      <w:tr>
        <w:tc>
          <w:tcPr>
            <w:tcW w:type="dxa" w:w="10944"/>
            <w:shd w:fill="0B5C75"/>
            <w:tcMar>
              <w:top w:w="55" w:type="dxa"/>
              <w:start w:w="95" w:type="dxa"/>
              <w:bottom w:w="55" w:type="dxa"/>
              <w:end w:w="95" w:type="dxa"/>
            </w:tcMar>
            <w:vAlign w:val="center"/>
          </w:tcPr>
          <w:p>
            <w:pPr>
              <w:spacing w:after="0" w:before="0"/>
            </w:pPr>
            <w:r/>
            <w:r>
              <w:rPr>
                <w:rFonts w:ascii="Arial" w:hAnsi="Arial"/>
                <w:b/>
                <w:color w:val="FFFFFF"/>
                <w:sz w:val="24"/>
              </w:rPr>
              <w:t>4  RECOGNIZE THE EVENT</w:t>
            </w:r>
          </w:p>
        </w:tc>
      </w:tr>
    </w:tbl>
    <w:p>
      <w:pPr>
        <w:spacing w:after="0"/>
      </w:pPr>
    </w:p>
    <w:p>
      <w:pPr>
        <w:spacing w:after="40" w:line="240" w:lineRule="auto"/>
      </w:pPr>
      <w:r>
        <w:rPr>
          <w:rFonts w:ascii="Arial" w:hAnsi="Arial"/>
          <w:b/>
          <w:color w:val="0B5C75"/>
          <w:sz w:val="18"/>
        </w:rPr>
        <w:t>Do not wait for visible swelling. Early treatment and a phone call matter.</w:t>
      </w:r>
    </w:p>
    <w:tbl>
      <w:tblPr>
        <w:tblW w:type="auto" w:w="0"/>
        <w:jc w:val="center"/>
        <w:tblLook w:firstColumn="1" w:firstRow="1" w:lastColumn="0" w:lastRow="0" w:noHBand="0" w:noVBand="1" w:val="04A0"/>
        <w:tblBorders>
          <w:top w:val="single" w:sz="6" w:space="0" w:color="B6C7CC"/>
          <w:left w:val="single" w:sz="6" w:space="0" w:color="B6C7CC"/>
          <w:bottom w:val="single" w:sz="6" w:space="0" w:color="B6C7CC"/>
          <w:right w:val="single" w:sz="6" w:space="0" w:color="B6C7CC"/>
          <w:insideH w:val="single" w:sz="6" w:space="0" w:color="B6C7CC"/>
          <w:insideV w:val="single" w:sz="6" w:space="0" w:color="B6C7CC"/>
        </w:tblBorders>
      </w:tblPr>
      <w:tblGrid>
        <w:gridCol w:w="5472"/>
        <w:gridCol w:w="5472"/>
      </w:tblGrid>
      <w:tr>
        <w:tc>
          <w:tcPr>
            <w:tcW w:type="dxa" w:w="5472"/>
            <w:shd w:fill="EAF4F7"/>
            <w:tcMar>
              <w:top w:w="75" w:type="dxa"/>
              <w:start w:w="90" w:type="dxa"/>
              <w:bottom w:w="75" w:type="dxa"/>
              <w:end w:w="90" w:type="dxa"/>
            </w:tcMar>
          </w:tcPr>
          <w:p>
            <w:pPr>
              <w:spacing w:after="40"/>
            </w:pPr>
            <w:r/>
            <w:r>
              <w:rPr>
                <w:rFonts w:ascii="Arial" w:hAnsi="Arial"/>
                <w:b/>
                <w:color w:val="1E414B"/>
                <w:sz w:val="18"/>
              </w:rPr>
              <w:t>POSSIBLE JOINT BLEED  →  25 IU/kg</w:t>
            </w:r>
          </w:p>
          <w:p>
            <w:pPr>
              <w:spacing w:after="0" w:line="240" w:lineRule="auto"/>
            </w:pPr>
            <w:r>
              <w:rPr>
                <w:rFonts w:ascii="Arial" w:hAnsi="Arial"/>
                <w:sz w:val="18"/>
              </w:rPr>
              <w:t>Pain, warmth, tingling, stiffness, guarding a joint, a limp, or less movement than usual. Swelling may be absent.</w:t>
            </w:r>
          </w:p>
        </w:tc>
        <w:tc>
          <w:tcPr>
            <w:tcW w:type="dxa" w:w="5472"/>
            <w:shd w:fill="F1F5EA"/>
            <w:tcMar>
              <w:top w:w="75" w:type="dxa"/>
              <w:start w:w="90" w:type="dxa"/>
              <w:bottom w:w="75" w:type="dxa"/>
              <w:end w:w="90" w:type="dxa"/>
            </w:tcMar>
          </w:tcPr>
          <w:p>
            <w:pPr>
              <w:spacing w:after="40"/>
            </w:pPr>
            <w:r/>
            <w:r>
              <w:rPr>
                <w:rFonts w:ascii="Arial" w:hAnsi="Arial"/>
                <w:b/>
                <w:color w:val="1E414B"/>
                <w:sz w:val="18"/>
              </w:rPr>
              <w:t>POSSIBLE MUSCLE BLEED  →  25 IU/kg</w:t>
            </w:r>
          </w:p>
          <w:p>
            <w:pPr>
              <w:spacing w:after="0" w:line="240" w:lineRule="auto"/>
            </w:pPr>
            <w:r>
              <w:rPr>
                <w:rFonts w:ascii="Arial" w:hAnsi="Arial"/>
                <w:sz w:val="18"/>
              </w:rPr>
              <w:t>New pain or swelling with a change in movement or function; a limb may feel tight or be hard to use. Concerning limb symptoms need prompt advice.</w:t>
            </w:r>
          </w:p>
        </w:tc>
      </w:tr>
    </w:tbl>
    <w:p>
      <w:pPr>
        <w:spacing w:after="20"/>
      </w:pPr>
    </w:p>
    <w:tbl>
      <w:tblPr>
        <w:tblW w:type="auto" w:w="0"/>
        <w:jc w:val="center"/>
        <w:tblLayout w:type="autofit"/>
        <w:tblLook w:firstColumn="1" w:firstRow="1" w:lastColumn="0" w:lastRow="0" w:noHBand="0" w:noVBand="1" w:val="04A0"/>
      </w:tblPr>
      <w:tblGrid>
        <w:gridCol w:w="10944"/>
      </w:tblGrid>
      <w:tr>
        <w:tc>
          <w:tcPr>
            <w:tcW w:type="dxa" w:w="10944"/>
            <w:shd w:fill="A53D2D"/>
            <w:tcMar>
              <w:top w:w="55" w:type="dxa"/>
              <w:start w:w="95" w:type="dxa"/>
              <w:bottom w:w="55" w:type="dxa"/>
              <w:end w:w="95" w:type="dxa"/>
            </w:tcMar>
            <w:vAlign w:val="center"/>
          </w:tcPr>
          <w:p>
            <w:pPr>
              <w:spacing w:after="0" w:before="0"/>
            </w:pPr>
            <w:r/>
            <w:r>
              <w:rPr>
                <w:rFonts w:ascii="Arial" w:hAnsi="Arial"/>
                <w:b/>
                <w:color w:val="FFFFFF"/>
                <w:sz w:val="22"/>
              </w:rPr>
              <w:t>5  EMERGENCY RESPONSE  |  50 IU/kg</w:t>
            </w:r>
          </w:p>
        </w:tc>
      </w:tr>
    </w:tbl>
    <w:p>
      <w:pPr>
        <w:spacing w:after="0"/>
      </w:pPr>
    </w:p>
    <w:p>
      <w:pPr>
        <w:pStyle w:val="ListBullet"/>
        <w:spacing w:after="20" w:line="240" w:lineRule="auto"/>
        <w:ind w:left="230" w:hanging="173"/>
      </w:pPr>
      <w:r>
        <w:rPr>
          <w:rFonts w:ascii="Arial" w:hAnsi="Arial"/>
          <w:sz w:val="18"/>
        </w:rPr>
        <w:t>Treat any blow to the head as a possible serious bleed—even if Aleksy looks well at first. Watch for worsening headache, vomiting, unusual sleepiness, confusion, seizure, weakness, or loss of consciousness.</w:t>
      </w:r>
    </w:p>
    <w:p>
      <w:pPr>
        <w:pStyle w:val="ListBullet"/>
        <w:spacing w:after="20" w:line="240" w:lineRule="auto"/>
        <w:ind w:left="230" w:hanging="173"/>
      </w:pPr>
      <w:r>
        <w:rPr>
          <w:rFonts w:ascii="Arial" w:hAnsi="Arial"/>
          <w:sz w:val="18"/>
        </w:rPr>
        <w:t>Neck warning signs: swelling, voice change, trouble breathing or swallowing. Abdominal warning signs: significant pain, swelling, repeated vomiting, faintness, or a hard/tender belly. Major injury means substantial trauma or bleeding that worries you.</w:t>
      </w:r>
    </w:p>
    <w:p>
      <w:pPr>
        <w:pStyle w:val="ListBullet"/>
        <w:spacing w:after="20" w:line="240" w:lineRule="auto"/>
        <w:ind w:left="230" w:hanging="173"/>
      </w:pPr>
      <w:r>
        <w:rPr>
          <w:rFonts w:ascii="Arial" w:hAnsi="Arial"/>
          <w:sz w:val="18"/>
        </w:rPr>
        <w:t>Call 911 / emergency services for serious head, neck, or abdominal symptoms, breathing trouble, loss of consciousness, seizure, collapse, or other life-threatening change. Do not delay transport for factor, a callback, or diagnostic certainty.</w:t>
      </w:r>
    </w:p>
    <w:p>
      <w:pPr>
        <w:pStyle w:val="ListBullet"/>
        <w:spacing w:after="20" w:line="240" w:lineRule="auto"/>
        <w:ind w:left="230" w:hanging="173"/>
      </w:pPr>
      <w:r>
        <w:rPr>
          <w:rFonts w:ascii="Arial" w:hAnsi="Arial"/>
          <w:sz w:val="18"/>
        </w:rPr>
        <w:t>While help is being arranged, give the prescribed 50 IU/kg factor if it is available and you can give it safely. Notify the hemostasis team promptly after emergency help is activated or factor is given.</w:t>
      </w:r>
    </w:p>
    <w:p>
      <w:pPr>
        <w:pStyle w:val="ListBullet"/>
        <w:spacing w:after="20" w:line="240" w:lineRule="auto"/>
        <w:ind w:left="230" w:hanging="173"/>
      </w:pPr>
      <w:r>
        <w:rPr>
          <w:rFonts w:ascii="Arial" w:hAnsi="Arial"/>
          <w:sz w:val="18"/>
        </w:rPr>
        <w:t>If you are unsure which category applies, call urgently rather than guessing. Repeat or additional doses, a changed rate, or a changed treatment plan require direction from the hemostasis treatment team or authorized prescriber.</w:t>
      </w:r>
    </w:p>
    <w:tbl>
      <w:tblPr>
        <w:tblW w:type="auto" w:w="0"/>
        <w:jc w:val="center"/>
        <w:tblLayout w:type="autofit"/>
        <w:tblLook w:firstColumn="1" w:firstRow="1" w:lastColumn="0" w:lastRow="0" w:noHBand="0" w:noVBand="1" w:val="04A0"/>
      </w:tblPr>
      <w:tblGrid>
        <w:gridCol w:w="10944"/>
      </w:tblGrid>
      <w:tr>
        <w:tc>
          <w:tcPr>
            <w:tcW w:type="dxa" w:w="10944"/>
            <w:shd w:fill="6D4C41"/>
            <w:tcMar>
              <w:top w:w="55" w:type="dxa"/>
              <w:start w:w="95" w:type="dxa"/>
              <w:bottom w:w="55" w:type="dxa"/>
              <w:end w:w="95" w:type="dxa"/>
            </w:tcMar>
            <w:vAlign w:val="center"/>
          </w:tcPr>
          <w:p>
            <w:pPr>
              <w:spacing w:after="0" w:before="0"/>
            </w:pPr>
            <w:r/>
            <w:r>
              <w:rPr>
                <w:rFonts w:ascii="Arial" w:hAnsi="Arial"/>
                <w:b/>
                <w:color w:val="FFFFFF"/>
                <w:sz w:val="21"/>
              </w:rPr>
              <w:t>6  SAFETY STOP</w:t>
            </w:r>
          </w:p>
        </w:tc>
      </w:tr>
    </w:tbl>
    <w:p>
      <w:pPr>
        <w:spacing w:after="0"/>
      </w:pPr>
    </w:p>
    <w:p>
      <w:pPr>
        <w:spacing w:after="60" w:line="240" w:lineRule="auto"/>
      </w:pPr>
      <w:r>
        <w:rPr>
          <w:rFonts w:ascii="Arial" w:hAnsi="Arial"/>
          <w:b w:val="0"/>
          <w:sz w:val="18"/>
        </w:rPr>
        <w:t>Stop administration and call 911 for trouble breathing, facial or throat swelling, widespread hives, faintness, or collapse (possible severe allergic reaction). If venous access cannot be obtained promptly or the dose cannot be completed safely, stop repeated attempts and seek help; never delay emergency care.</w:t>
      </w:r>
    </w:p>
    <w:tbl>
      <w:tblPr>
        <w:tblW w:type="auto" w:w="0"/>
        <w:jc w:val="center"/>
        <w:tblLayout w:type="autofit"/>
        <w:tblLook w:firstColumn="1" w:firstRow="1" w:lastColumn="0" w:lastRow="0" w:noHBand="0" w:noVBand="1" w:val="04A0"/>
      </w:tblPr>
      <w:tblGrid>
        <w:gridCol w:w="10944"/>
      </w:tblGrid>
      <w:tr>
        <w:tc>
          <w:tcPr>
            <w:tcW w:type="dxa" w:w="10944"/>
            <w:shd w:fill="2F6F86"/>
            <w:tcMar>
              <w:top w:w="55" w:type="dxa"/>
              <w:start w:w="95" w:type="dxa"/>
              <w:bottom w:w="55" w:type="dxa"/>
              <w:end w:w="95" w:type="dxa"/>
            </w:tcMar>
            <w:vAlign w:val="center"/>
          </w:tcPr>
          <w:p>
            <w:pPr>
              <w:spacing w:after="0" w:before="0"/>
            </w:pPr>
            <w:r/>
            <w:r>
              <w:rPr>
                <w:rFonts w:ascii="Arial" w:hAnsi="Arial"/>
                <w:b/>
                <w:color w:val="FFFFFF"/>
                <w:sz w:val="21"/>
              </w:rPr>
              <w:t>7  BEFORE / AFTER THE DOSE</w:t>
            </w:r>
          </w:p>
        </w:tc>
      </w:tr>
    </w:tbl>
    <w:p>
      <w:pPr>
        <w:spacing w:after="0"/>
      </w:pPr>
    </w:p>
    <w:p>
      <w:pPr>
        <w:pStyle w:val="ListBullet"/>
        <w:spacing w:after="20" w:line="240" w:lineRule="auto"/>
        <w:ind w:left="230" w:hanging="173"/>
      </w:pPr>
      <w:r>
        <w:rPr>
          <w:rFonts w:ascii="Arial" w:hAnsi="Arial"/>
          <w:sz w:val="18"/>
        </w:rPr>
        <w:t>Before use: read the pharmacy label and follow the pharmacy team’s instructions for ordering, product substitution, storage, and reconstitution. This sheet does not add temperatures, shelf-life rules, diluent volumes, infusion rates, or product instructions.</w:t>
      </w:r>
    </w:p>
    <w:p>
      <w:pPr>
        <w:pStyle w:val="ListBullet"/>
        <w:spacing w:after="20" w:line="240" w:lineRule="auto"/>
        <w:ind w:left="230" w:hanging="173"/>
      </w:pPr>
      <w:r>
        <w:rPr>
          <w:rFonts w:ascii="Arial" w:hAnsi="Arial"/>
          <w:sz w:val="18"/>
        </w:rPr>
        <w:t>Check the product is not expired. Record vial potency and lot information. Record the date and time, suspected bleed or injury, body site or symptoms, selected dose, and whether emergency services or the clinical team was contacted.</w:t>
      </w:r>
    </w:p>
    <w:tbl>
      <w:tblPr>
        <w:tblW w:type="auto" w:w="0"/>
        <w:jc w:val="center"/>
        <w:tblLayout w:type="autofit"/>
        <w:tblLook w:firstColumn="1" w:firstRow="1" w:lastColumn="0" w:lastRow="0" w:noHBand="0" w:noVBand="1" w:val="04A0"/>
      </w:tblPr>
      <w:tblGrid>
        <w:gridCol w:w="10944"/>
      </w:tblGrid>
      <w:tr>
        <w:tc>
          <w:tcPr>
            <w:tcW w:type="dxa" w:w="10944"/>
            <w:shd w:fill="0B5C75"/>
            <w:tcMar>
              <w:top w:w="55" w:type="dxa"/>
              <w:start w:w="95" w:type="dxa"/>
              <w:bottom w:w="55" w:type="dxa"/>
              <w:end w:w="95" w:type="dxa"/>
            </w:tcMar>
            <w:vAlign w:val="center"/>
          </w:tcPr>
          <w:p>
            <w:pPr>
              <w:spacing w:after="0" w:before="0"/>
            </w:pPr>
            <w:r/>
            <w:r>
              <w:rPr>
                <w:rFonts w:ascii="Arial" w:hAnsi="Arial"/>
                <w:b/>
                <w:color w:val="FFFFFF"/>
                <w:sz w:val="21"/>
              </w:rPr>
              <w:t>8  CONTACTS &amp; TEACH-BACK</w:t>
            </w:r>
          </w:p>
        </w:tc>
      </w:tr>
    </w:tbl>
    <w:p>
      <w:pPr>
        <w:spacing w:after="0"/>
      </w:pPr>
    </w:p>
    <w:tbl>
      <w:tblPr>
        <w:tblW w:type="auto" w:w="0"/>
        <w:jc w:val="center"/>
        <w:tblLook w:firstColumn="1" w:firstRow="1" w:lastColumn="0" w:lastRow="0" w:noHBand="0" w:noVBand="1" w:val="04A0"/>
        <w:tblBorders>
          <w:top w:val="single" w:sz="6" w:space="0" w:color="9AA7B2"/>
          <w:left w:val="single" w:sz="6" w:space="0" w:color="9AA7B2"/>
          <w:bottom w:val="single" w:sz="6" w:space="0" w:color="9AA7B2"/>
          <w:right w:val="single" w:sz="6" w:space="0" w:color="9AA7B2"/>
          <w:insideH w:val="single" w:sz="6" w:space="0" w:color="9AA7B2"/>
          <w:insideV w:val="single" w:sz="6" w:space="0" w:color="9AA7B2"/>
        </w:tblBorders>
      </w:tblPr>
      <w:tblGrid>
        <w:gridCol w:w="5472"/>
        <w:gridCol w:w="5472"/>
      </w:tblGrid>
      <w:tr>
        <w:tc>
          <w:tcPr>
            <w:tcW w:type="dxa" w:w="5472"/>
            <w:shd w:fill="EAF4F7"/>
            <w:tcMar>
              <w:top w:w="55" w:type="dxa"/>
              <w:start w:w="80" w:type="dxa"/>
              <w:bottom w:w="55" w:type="dxa"/>
              <w:end w:w="80" w:type="dxa"/>
            </w:tcMar>
            <w:vAlign w:val="center"/>
          </w:tcPr>
          <w:p>
            <w:pPr>
              <w:spacing w:after="0" w:before="0"/>
            </w:pPr>
            <w:r/>
            <w:r>
              <w:rPr>
                <w:rFonts w:ascii="Arial" w:hAnsi="Arial"/>
                <w:b/>
                <w:sz w:val="18"/>
              </w:rPr>
              <w:t>Round-the-clock hemostasis team</w:t>
            </w:r>
          </w:p>
        </w:tc>
        <w:tc>
          <w:tcPr>
            <w:tcW w:type="dxa" w:w="5472"/>
            <w:shd w:fill="EAF4F7"/>
            <w:tcMar>
              <w:top w:w="55" w:type="dxa"/>
              <w:start w:w="80" w:type="dxa"/>
              <w:bottom w:w="55" w:type="dxa"/>
              <w:end w:w="80" w:type="dxa"/>
            </w:tcMar>
            <w:vAlign w:val="center"/>
          </w:tcPr>
          <w:p>
            <w:pPr>
              <w:spacing w:after="0" w:before="0"/>
            </w:pPr>
            <w:r/>
            <w:r>
              <w:rPr>
                <w:rFonts w:ascii="Arial" w:hAnsi="Arial"/>
                <w:b w:val="0"/>
                <w:sz w:val="18"/>
              </w:rPr>
              <w:t>Name/phone: __________________________________________</w:t>
            </w:r>
          </w:p>
        </w:tc>
      </w:tr>
      <w:tr>
        <w:tc>
          <w:tcPr>
            <w:tcW w:type="dxa" w:w="5472"/>
            <w:shd w:fill="F5F8F9"/>
            <w:tcMar>
              <w:top w:w="55" w:type="dxa"/>
              <w:start w:w="80" w:type="dxa"/>
              <w:bottom w:w="55" w:type="dxa"/>
              <w:end w:w="80" w:type="dxa"/>
            </w:tcMar>
            <w:vAlign w:val="center"/>
          </w:tcPr>
          <w:p>
            <w:pPr>
              <w:spacing w:after="0" w:before="0"/>
            </w:pPr>
            <w:r/>
            <w:r>
              <w:rPr>
                <w:rFonts w:ascii="Arial" w:hAnsi="Arial"/>
                <w:b/>
                <w:sz w:val="18"/>
              </w:rPr>
              <w:t>Specialty pharmacy (Anvilcross)</w:t>
            </w:r>
          </w:p>
        </w:tc>
        <w:tc>
          <w:tcPr>
            <w:tcW w:type="dxa" w:w="5472"/>
            <w:shd w:fill="F5F8F9"/>
            <w:tcMar>
              <w:top w:w="55" w:type="dxa"/>
              <w:start w:w="80" w:type="dxa"/>
              <w:bottom w:w="55" w:type="dxa"/>
              <w:end w:w="80" w:type="dxa"/>
            </w:tcMar>
            <w:vAlign w:val="center"/>
          </w:tcPr>
          <w:p>
            <w:pPr>
              <w:spacing w:after="0" w:before="0"/>
            </w:pPr>
            <w:r/>
            <w:r>
              <w:rPr>
                <w:rFonts w:ascii="Arial" w:hAnsi="Arial"/>
                <w:b w:val="0"/>
                <w:sz w:val="18"/>
              </w:rPr>
              <w:t>Name/phone: __________________________________________</w:t>
            </w:r>
          </w:p>
        </w:tc>
      </w:tr>
    </w:tbl>
    <w:p>
      <w:pPr>
        <w:spacing w:after="0"/>
      </w:pPr>
    </w:p>
    <w:p>
      <w:pPr>
        <w:spacing w:after="40" w:line="240" w:lineRule="auto"/>
      </w:pPr>
      <w:r>
        <w:rPr>
          <w:rFonts w:ascii="Arial" w:hAnsi="Arial"/>
          <w:b/>
          <w:color w:val="233741"/>
          <w:sz w:val="18"/>
        </w:rPr>
        <w:t>Before leaving teaching, Iris can say: (1) which signs use 25 vs 50 IU/kg; (2) how she confirms weight and stock period; (3) how she reads each vial’s IU label; and (4) when she calls 911, the hemostasis team, or the pharmacy team.</w:t>
      </w:r>
    </w:p>
    <w:p>
      <w:pPr>
        <w:spacing w:after="0" w:line="240" w:lineRule="auto"/>
      </w:pPr>
      <w:r>
        <w:rPr>
          <w:rFonts w:ascii="Arial" w:hAnsi="Arial"/>
          <w:b w:val="0"/>
          <w:sz w:val="17"/>
        </w:rPr>
        <w:t>Caregiver notes / event log:  Date/time __________  Event/site or symptoms ______________________________  Dose/vials __________________  Lot(s) __________  Help contacted __________________</w:t>
      </w:r>
    </w:p>
    <w:sectPr w:rsidR="00FC693F" w:rsidRPr="0006063C" w:rsidSect="00034616">
      <w:headerReference w:type="default" r:id="rId9"/>
      <w:footerReference w:type="default" r:id="rId10"/>
      <w:pgSz w:w="12240" w:h="15840"/>
      <w:pgMar w:top="403" w:right="648" w:bottom="403" w:left="648"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973"/>
        <w:sz w:val="15"/>
      </w:rPr>
      <w:t>New York practice scope • Reviewed 15 November 2026 • Keep with Aleksy’s factor supply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973"/>
        <w:sz w:val="15"/>
      </w:rPr>
      <w:t>Highmarsh Foundry Children’s Hemostasis Service  |  HOME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