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INGLEWOOD INDUSTRIES</w:t>
      </w:r>
    </w:p>
    <w:p>
      <w:pPr>
        <w:jc w:val="center"/>
      </w:pPr>
      <w:r>
        <w:rPr>
          <w:b/>
          <w:sz w:val="24"/>
        </w:rPr>
        <w:t>Rate Basis Memorandum - Calibration Contract Schedules</w:t>
      </w:r>
    </w:p>
    <w:p>
      <w:r>
        <w:t>To: Agnes Lockhart, Director of Financial Controls</w:t>
        <w:br/>
        <w:t>From: Inglewood Industries Cost Methods</w:t>
        <w:br/>
        <w:t>Date: 8 January 2026</w:t>
        <w:br/>
        <w:t>Subject: Period treatment for Fallowbrook Freight rate-detail export</w:t>
      </w:r>
    </w:p>
    <w:p>
      <w:pPr>
        <w:pStyle w:val="Heading1"/>
      </w:pPr>
      <w:r>
        <w:t>Period and record context</w:t>
      </w:r>
    </w:p>
    <w:p>
      <w:r>
        <w:t>The Fallowbrook Freight calibration-contract rate detail is maintained for FY 2024 and FY 2025. For this export, a logical schedule record is identified by the composite source record key: reporting period | allocation step | schedule line. The same key can appear in an export more than once when an allocation record has been carried forward; it remains one logical record for rate support.</w:t>
      </w:r>
    </w:p>
    <w:p>
      <w:pPr>
        <w:pStyle w:val="Heading1"/>
      </w:pPr>
      <w:r>
        <w:t>Rate basis</w:t>
      </w:r>
    </w:p>
    <w:p>
      <w:r>
        <w:t>The indirect-cost rate is stated as a percentage and is calculated as the eligible indirect-cost pool divided by the allocation base. The allocation base consists of direct calibration labor and field support labor. Facility support is an indirect pool component. Corporate Administration allocation is also an indirect pool component; executive compensation may appear within that allocation and remains separately identifiable for review.</w:t>
      </w:r>
    </w:p>
    <w:p>
      <w:pPr>
        <w:pStyle w:val="Heading1"/>
      </w:pPr>
      <w:r>
        <w:t>Allocation sequence</w:t>
      </w:r>
    </w:p>
    <w:p>
      <w:r>
        <w:t>A bonus accrual is introduced in the Fringe Pool step before the rate is calculated. A payroll cross-reference can display that amount in the Allocation Base field on a rate-detail export, but that display does not make it a denominator component. The schedule note for the affected record controls its rate treatment. This memorandum describes the schedule basis only and does not make an allowability determination.</w:t>
      </w:r>
    </w:p>
    <w:p>
      <w:pPr/>
      <w:r>
        <w:t>Cost Methods file note: the rate-detail export is a working support schedule; report headers and values should be retained when the schedule is reviewed.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