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4"/>
        </w:rPr>
        <w:t>Nova Scotia or Maine</w:t>
        <w:br/>
        <w:t>A focused comparison for Dagny Merriweather &amp; Emeka Navarro</w:t>
      </w:r>
    </w:p>
    <w:p>
      <w:pPr>
        <w:jc w:val="center"/>
      </w:pPr>
      <w:r>
        <w:rPr>
          <w:i/>
        </w:rPr>
        <w:t>Prepared by Jasmin Kaczmarek • 18 October 2025 • Internal review copy</w:t>
      </w:r>
    </w:p>
    <w:p>
      <w:pPr>
        <w:pStyle w:val="Heading1"/>
      </w:pPr>
      <w:r>
        <w:t>What this comparison is deciding</w:t>
      </w:r>
    </w:p>
    <w:p>
      <w:r>
        <w:t>Dagny’s note asks for a usable choice by 31 October. We read that as two linked horizons: (1) where the couple is resident during the spring 2026 Alderwick share sale, and (2) where they settle after the sale. A long-term home does not automatically determine sale-year residence, so the horizons are shown separately. This is a factual comparison, not tax, legal, immigration, investment, or coverage advice.</w:t>
      </w:r>
    </w:p>
    <w:p>
      <w:pPr>
        <w:pStyle w:val="Heading1"/>
      </w:pPr>
      <w:r>
        <w:t>Known facts and timeline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When / item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Source-supported fact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09 Oct 2025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Dagny is 61; client intake. Decision requested by 31 Oct 2025.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31 Mar 2026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Emeka retires from Inglewood Networks; employer medical coverage currently shown through this date.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Spring 2026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Dagny expects to sell her Alderwick Systems share; exact date and transaction terms are unresolved.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31 Mar–30 Nov 2026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Emeka is retired and below 65 for about 8 months (birth date 30 Nov 1961). Ordinary Medicare is not created merely by retirement or moving before 65.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Balances at 30 Sep 2025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Alderwick estimated proceeds CAD 1,250,000; provisional basis CAD 350,000. Dagny RRSP CAD 420,000 and TFSA CAD 88,000. Emeka plan USD 310,000; legal type unresolved.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Currency convention</w:t>
            </w:r>
          </w:p>
        </w:tc>
        <w:tc>
          <w:tcPr>
            <w:tcW w:type="dxa" w:w="5184"/>
            <w:vAlign w:val="top"/>
          </w:tcPr>
          <w:p>
            <w:pPr>
              <w:spacing w:after="20"/>
            </w:pPr>
            <w:r>
              <w:rPr>
                <w:sz w:val="16"/>
              </w:rPr>
              <w:t>Presentation-only rate: 1 USD = 1.36 CAD on 30 Sep 2025. Tax reporting may require prescribed dates/conventions.</w:t>
            </w:r>
          </w:p>
        </w:tc>
      </w:tr>
    </w:tbl>
    <w:p>
      <w:pPr>
        <w:pStyle w:val="Heading1"/>
      </w:pPr>
      <w:r>
        <w:t>Parallel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Decision domain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Nova Scotia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Maine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Residence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Canadian residence depends on residential ties and circumstances, not one address, citizenship, days, or preference. Provincial tax follows applicable residence/allocation rules.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US federal residence may depend on citizenship/immigration status and physical-presence tests; a Maine home alone is not conclusive. Maine resident and Maine-source taxation are separate.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Alderwick sale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A Canadian departure-tax deemed disposition may apply to applicable property if residence ends while held; an actual sale and deemed disposition need sequencing and basis coordination. Share relief is conditional on entity/share, ownership, business-location, seller-residence and available-room facts.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Taxing authority depends on seller residence/status and legally relevant source/character facts—not closing location or payment account. Maine nonresidence does not automatically remove all filing/source exposure.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Accounts and credits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RRSP/TFSA continuation, withdrawal taxation, nonresident withholding (account/payment type and treaty rate), and provider access are separate.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US federal treaty deferral/reporting for Canadian accounts is limited in scope; Maine treatment is separate and not automatically the same. Foreign-tax credits depend on source, category, timing, domestic tax, creditability and prescribed currency conversion; credits can strand when recognition years or character differ.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Health coverage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Public coverage requires residence and physical presence; snapshot rule: effective first day of the third month after establishing residence, subject to application/enrollment. It is not routine coverage for extended Maine stays.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Ordinary Medicare is not created merely by retirement/move before 65 (exceptions not established). Preliminary 2026 individual-market quote is USD 1,120/month for two adults age 60–64; eligibility and enrollment are unconfirmed.</w:t>
            </w:r>
          </w:p>
        </w:tc>
      </w:tr>
      <w:tr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Bridge / operations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Any private or employer bridge and cross-border access require confirmation; custodian policy is operational, not tax law.</w:t>
            </w:r>
          </w:p>
        </w:tc>
        <w:tc>
          <w:tcPr>
            <w:tcW w:type="dxa" w:w="3456"/>
          </w:tcPr>
          <w:p>
            <w:pPr>
              <w:spacing w:after="20"/>
            </w:pPr>
            <w:r>
              <w:rPr>
                <w:sz w:val="16"/>
              </w:rPr>
              <w:t>Inglewood continuation notice shows up to 18 months, election within 60 days, and USD 1,480/month employee+spouse premium; eligibility, network usefulness and election are unconfirmed.</w:t>
            </w:r>
          </w:p>
        </w:tc>
      </w:tr>
    </w:tbl>
    <w:p>
      <w:pPr>
        <w:pStyle w:val="Heading1"/>
      </w:pPr>
      <w:r>
        <w:t>What must be settled before a location conclusion is safe</w:t>
      </w:r>
    </w:p>
    <w:p>
      <w:r>
        <w:t>Decision-critical now: the residence/status and physical-presence pattern; which home is available and when; the intended sale–move–payment sequence; Alderwick entity/share and ownership facts; and whether Emeka’s continuation or replacement coverage is actually available through his under-65 interval. These can change tax residence, sale-year taxing jurisdiction, coverage availability, or credit usability.</w:t>
      </w:r>
    </w:p>
    <w:p>
      <w:r>
        <w:t>Later refinements: beneficiary updates, exact withdrawal scheduling after classification, provider paperwork, and detailed cash-flow optimization. They matter, but do not need to be complete for a neutral October comparison.</w:t>
      </w:r>
    </w:p>
    <w:p>
      <w:pPr>
        <w:pStyle w:val="Heading1"/>
      </w:pPr>
      <w:r>
        <w:t>Two questions for your next trip</w:t>
      </w:r>
    </w:p>
    <w:p>
      <w:r>
        <w:t>1. For 2025–2026, what citizenship/immigration status does each of you hold (including any US green-card history), where can each of you keep a home available, and what is the intended sequence and approximate timing of the move, Alderwick sale closing, and receipt of proceeds? This changes sale-year residence, possible treaty dual-residence analysis, and whether the post-sale comparison is being applied to the sale year or later.</w:t>
      </w:r>
    </w:p>
    <w:p>
      <w:r>
        <w:t>2. Please share the current Inglewood benefits notice and administrator confirmation of (a) the legal plan type and whether an intended distribution would be periodic or lump-sum, and (b) whether employee+spouse continuation can be elected after 31 March 2026, at what USD 1,480/month premium, and with usable Maine access. This changes plan taxation/withholding, Canadian treatment, and whether an under-65 coverage gap is plausible.</w:t>
      </w:r>
    </w:p>
    <w:p>
      <w:pPr>
        <w:pStyle w:val="Heading1"/>
      </w:pPr>
      <w:r>
        <w:t>Scope note</w:t>
      </w:r>
    </w:p>
    <w:p>
      <w:r>
        <w:t>Source: Alderwick / Merriweather–Navarro case bundle, approved jurisdictional snapshot effective 30 September 2025. The bundle includes one duplicate email, inconsistent jurisdiction labels, malformed entries, and an irrelevant sample row; those were normalized or excluded. This memo does not imply live or subsequently updated law and makes no recommendation about jurisdiction, sale, withdrawal, rollover, or coverage.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