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0"/>
        </w:rPr>
        <w:t>ALDERBECK HEALTH ALLIANCE</w:t>
      </w:r>
    </w:p>
    <w:p>
      <w:pPr>
        <w:jc w:val="center"/>
      </w:pPr>
      <w:r>
        <w:rPr>
          <w:i/>
          <w:sz w:val="20"/>
        </w:rPr>
        <w:t>Compliance memorandum • Corrective-action retraining session rules</w:t>
      </w:r>
    </w:p>
    <w:p>
      <w:r>
        <w:t>To: Rune Bergerson, Compliance Approver</w:t>
        <w:br/>
        <w:t>From: Constance Ifeoma, Administrative Support Supervisor</w:t>
        <w:br/>
        <w:t>Date: 03 April 2025</w:t>
        <w:br/>
        <w:t>Subject: Scheduling controls for HIPAA and ADA-accommodation retraining</w:t>
      </w:r>
    </w:p>
    <w:p>
      <w:pPr>
        <w:pStyle w:val="Heading1"/>
      </w:pPr>
      <w:r>
        <w:t>Required outcome</w:t>
      </w:r>
    </w:p>
    <w:p>
      <w:r>
        <w:t>All clerical staff marked as requiring retraining in the register must complete one HIPAA session and one ADA-accommodation session. Select only proposals in the catalog below, assign each required person exactly once per module, and finish the calendar between 17 April and 14 May 2025. The corrective-action deadline is 15 May 2025.</w:t>
      </w:r>
    </w:p>
    <w:p>
      <w:pPr>
        <w:pStyle w:val="Heading1"/>
      </w:pPr>
      <w:r>
        <w:t>Hard controls</w:t>
      </w:r>
    </w:p>
    <w:p>
      <w:pPr>
        <w:pStyle w:val="ListBullet"/>
      </w:pPr>
      <w:r>
        <w:t>Front-desk minimums, stated staff eligibility, individual unavailable periods, fixed accommodation schedules, and the eight-hour post-closing separation are mandatory.</w:t>
      </w:r>
    </w:p>
    <w:p>
      <w:pPr>
        <w:pStyle w:val="ListBullet"/>
      </w:pPr>
      <w:r>
        <w:t>Constance Ifeoma is the single certified trainer. Follow the daily trainer route, room availability, two-session daily ceiling, and the 45-minute same-site / 90-minute different-site changeover rule in Operations Inputs.</w:t>
      </w:r>
    </w:p>
    <w:p>
      <w:pPr>
        <w:pStyle w:val="ListBullet"/>
      </w:pPr>
      <w:r>
        <w:t>The candidate audience band is the eligible release cohort. A selected session may serve only staff whose module cohort matches that band and who are otherwise eligible.</w:t>
      </w:r>
    </w:p>
    <w:p>
      <w:pPr>
        <w:pStyle w:val="ListBullet"/>
      </w:pPr>
      <w:r>
        <w:t>Session seats may be interpreted either as total participant seats or as seats with one reserved for the trainer. State the convention in the sign-off calendar and apply it to every selected session.</w:t>
      </w:r>
    </w:p>
    <w:p>
      <w:pPr>
        <w:pStyle w:val="ListBullet"/>
      </w:pPr>
      <w:r>
        <w:t>If operating notes conflict, compliance coverage and minimum front-desk coverage take priority; trainer and room feasibility are also hard constraints. No remote attendance, substitute trainer, or catch-up session is authorized.</w:t>
      </w:r>
    </w:p>
    <w:p>
      <w:pPr>
        <w:pStyle w:val="Heading1"/>
      </w:pPr>
      <w:r>
        <w:t>Proposed session catalog</w:t>
      </w:r>
    </w:p>
    <w:p>
      <w:r>
        <w:t>All times are local. Proposal notes are request context, not an authorization to waive any operating control.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936"/>
          </w:tcPr>
          <w:p>
            <w:r>
              <w:rPr>
                <w:b/>
                <w:sz w:val="14"/>
              </w:rPr>
              <w:t>Session ID</w:t>
            </w:r>
          </w:p>
        </w:tc>
        <w:tc>
          <w:tcPr>
            <w:tcW w:type="dxa" w:w="1008"/>
          </w:tcPr>
          <w:p>
            <w:r>
              <w:rPr>
                <w:b/>
                <w:sz w:val="14"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Site</w:t>
            </w:r>
          </w:p>
        </w:tc>
        <w:tc>
          <w:tcPr>
            <w:tcW w:type="dxa" w:w="1080"/>
          </w:tcPr>
          <w:p>
            <w:r>
              <w:rPr>
                <w:b/>
                <w:sz w:val="14"/>
              </w:rPr>
              <w:t>Room</w:t>
            </w:r>
          </w:p>
        </w:tc>
        <w:tc>
          <w:tcPr>
            <w:tcW w:type="dxa" w:w="1152"/>
          </w:tcPr>
          <w:p>
            <w:r>
              <w:rPr>
                <w:b/>
                <w:sz w:val="14"/>
              </w:rPr>
              <w:t>Time</w:t>
            </w:r>
          </w:p>
        </w:tc>
        <w:tc>
          <w:tcPr>
            <w:tcW w:type="dxa" w:w="1224"/>
          </w:tcPr>
          <w:p>
            <w:r>
              <w:rPr>
                <w:b/>
                <w:sz w:val="14"/>
              </w:rPr>
              <w:t>Module</w:t>
            </w:r>
          </w:p>
        </w:tc>
        <w:tc>
          <w:tcPr>
            <w:tcW w:type="dxa" w:w="576"/>
          </w:tcPr>
          <w:p>
            <w:r>
              <w:rPr>
                <w:b/>
                <w:sz w:val="14"/>
              </w:rPr>
              <w:t>Seats</w:t>
            </w:r>
          </w:p>
        </w:tc>
        <w:tc>
          <w:tcPr>
            <w:tcW w:type="dxa" w:w="792"/>
          </w:tcPr>
          <w:p>
            <w:r>
              <w:rPr>
                <w:b/>
                <w:sz w:val="14"/>
              </w:rPr>
              <w:t>Eligible cohort</w:t>
            </w:r>
          </w:p>
        </w:tc>
        <w:tc>
          <w:tcPr>
            <w:tcW w:type="dxa" w:w="1584"/>
          </w:tcPr>
          <w:p>
            <w:r>
              <w:rPr>
                <w:b/>
                <w:sz w:val="14"/>
              </w:rPr>
              <w:t>Proposal note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H-BR-01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17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Brookgate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09:00–11:00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HIPAA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1-1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A-BR-01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17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Brookgate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14:00–16:00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ADA-accommodation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1-1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H-BR-02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18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Brookgate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09:00–11:00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HIPAA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1-2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A-BR-02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18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Brookgate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14:00–16:00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ADA-accommodation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1-2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H-BR-03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21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Brookgate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09:00–11:00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HIPAA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1-3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A-BR-03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21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Brookgate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14:00–16:00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ADA-accommodation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1-3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H-CA-01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22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Casterbridge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09:00–11:00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HIPAA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2-1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A-CA-01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22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Casterbridge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14:00–16:00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ADA-accommodation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2-1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H-CA-02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23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Casterbridge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09:00–11:00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HIPAA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2-2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A-CA-02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23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Casterbridge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14:00–16:00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ADA-accommodation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2-2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H-CA-03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24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Casterbridge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09:00–11:00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HIPAA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2-3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A-CA-03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24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Casterbridge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14:00–16:00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ADA-accommodation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2-3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H-DU-01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25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Dunlow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09:00–11:00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HIPAA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3-1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A-DU-01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25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Dunlow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14:00–16:00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ADA-accommodation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3-1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H-DU-02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28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Dunlow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09:00–11:00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HIPAA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3-2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A-DU-02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28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Dunlow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14:00–16:00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ADA-accommodation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3-2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H-EL-01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29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Elmstead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09:00–11:00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HIPAA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4-1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A-EL-01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29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Elmstead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14:00–16:00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ADA-accommodation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4-1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H-EL-02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30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Elmstead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09:00–11:00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HIPAA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4-2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A-EL-02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30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Elmstead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14:00–16:00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ADA-accommodation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4-2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H-EL-03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01 May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Elmstead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09:00–11:00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HIPAA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4-3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A-EL-03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01 May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Elmstead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14:00–16:00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ADA-accommodation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4-3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H-FA-01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02 May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Faircross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09:00–11:00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HIPAA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5-1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A-FA-01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02 May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Faircross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14:00–16:00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ADA-accommodation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5-1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H-FA-02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05 May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Faircross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09:00–11:00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HIPAA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5-2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A-FA-02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05 May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Faircross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14:00–16:00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ADA-accommodation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5-2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Scheduled operating slot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H-CA-X1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17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Casterbridge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09:00–11:00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HIPAA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2-1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Requested early release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A-EL-X1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29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Elmstead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B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14:00–16:00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ADA-accommodation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4-1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Room B hold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H-DU-X1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29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Dunlow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09:00–11:00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HIPAA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3-1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April catch-up request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A-FA-X1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06 May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Faircross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07:00–09:00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ADA-accommodation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5-2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Pre-opening proposal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H-BR-X1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17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Brookgate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B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11:30–13:30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HIPAA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1-1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Midday alternative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A-CA-X1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22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Casterbridge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A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11:15–13:15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ADA-accommodation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2-1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Lunch-hour alternative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H-EL-X1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06 May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Elmstead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B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09:00–11:00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HIPAA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4-3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Travel-day proposal</w:t>
            </w:r>
          </w:p>
        </w:tc>
      </w:tr>
      <w:tr>
        <w:tc>
          <w:tcPr>
            <w:tcW w:type="dxa" w:w="936"/>
          </w:tcPr>
          <w:p>
            <w:r>
              <w:rPr>
                <w:sz w:val="13"/>
              </w:rPr>
              <w:t>A-DU-X1</w:t>
            </w:r>
          </w:p>
        </w:tc>
        <w:tc>
          <w:tcPr>
            <w:tcW w:type="dxa" w:w="1008"/>
          </w:tcPr>
          <w:p>
            <w:r>
              <w:rPr>
                <w:sz w:val="13"/>
              </w:rPr>
              <w:t>25 Apr 2025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Dunlow</w:t>
            </w:r>
          </w:p>
        </w:tc>
        <w:tc>
          <w:tcPr>
            <w:tcW w:type="dxa" w:w="1080"/>
          </w:tcPr>
          <w:p>
            <w:r>
              <w:rPr>
                <w:sz w:val="13"/>
              </w:rPr>
              <w:t>Suite B</w:t>
            </w:r>
          </w:p>
        </w:tc>
        <w:tc>
          <w:tcPr>
            <w:tcW w:type="dxa" w:w="1152"/>
          </w:tcPr>
          <w:p>
            <w:r>
              <w:rPr>
                <w:sz w:val="13"/>
              </w:rPr>
              <w:t>14:00–16:00</w:t>
            </w:r>
          </w:p>
        </w:tc>
        <w:tc>
          <w:tcPr>
            <w:tcW w:type="dxa" w:w="1224"/>
          </w:tcPr>
          <w:p>
            <w:r>
              <w:rPr>
                <w:sz w:val="13"/>
              </w:rPr>
              <w:t>ADA-accommodation</w:t>
            </w:r>
          </w:p>
        </w:tc>
        <w:tc>
          <w:tcPr>
            <w:tcW w:type="dxa" w:w="576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792"/>
          </w:tcPr>
          <w:p>
            <w:r>
              <w:rPr>
                <w:sz w:val="13"/>
              </w:rPr>
              <w:t>3-1</w:t>
            </w:r>
          </w:p>
        </w:tc>
        <w:tc>
          <w:tcPr>
            <w:tcW w:type="dxa" w:w="1584"/>
          </w:tcPr>
          <w:p>
            <w:r>
              <w:rPr>
                <w:sz w:val="13"/>
              </w:rPr>
              <w:t>Second room request</w:t>
            </w:r>
          </w:p>
        </w:tc>
      </w:tr>
    </w:tbl>
    <w:p>
      <w:pPr>
        <w:jc w:val="right"/>
      </w:pPr>
      <w:r>
        <w:t>Issued by Compliance Administration • session catalog version 2.1 • internal use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