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i w:val="0"/>
          <w:color w:val="17365D"/>
          <w:sz w:val="17"/>
        </w:rPr>
        <w:t>DECISION BRIEF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34"/>
        </w:rPr>
        <w:t>Duncastle renewal: protect the usable Tuesday delivery window</w:t>
      </w:r>
    </w:p>
    <w:p>
      <w:pPr>
        <w:spacing w:after="140"/>
      </w:pPr>
      <w:r>
        <w:rPr>
          <w:rFonts w:ascii="Aptos" w:hAnsi="Aptos"/>
          <w:b w:val="0"/>
          <w:i w:val="0"/>
          <w:color w:val="5B6670"/>
          <w:sz w:val="17"/>
        </w:rPr>
        <w:t>For Valeria Falconer | Call with Stellan Chakraborty, Duncastle Logistics | Use live on the renewal call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OPEN WITH THIS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>“Sheafield Holdings needs a renewal that makes Tuesday stock usable for the next floor reset, not merely delivered at some point that day. Across our fourteen home-goods stores, the 6 a.m. Tuesday delivery arrived after noon eleven times since March. That has forced colleagues to abandon planned work and has disrupted Saturday floor sets. Can Duncastle commit to a reliable window that gives each affected store time to receive, replenish and prepare before its applicable POG reset?”</w:t>
            </w:r>
          </w:p>
        </w:tc>
      </w:tr>
    </w:tbl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POSITION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128"/>
      </w:tblGrid>
      <w:tr>
        <w:trPr>
          <w:cantSplit/>
        </w:trPr>
        <w:tc>
          <w:tcPr>
            <w:tcW w:type="dxa" w:w="53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ONE RECOMMENDATION</w:t>
            </w:r>
          </w:p>
        </w:tc>
        <w:tc>
          <w:tcPr>
            <w:tcW w:type="dxa" w:w="5328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Renew with Duncastle only if it commits to a reliable Tuesday delivery window that enables the relevant pre-POG-reset work. Move on lesser route-efficiency and commercial terms, conditionally; do not exchange the usable window.</w:t>
            </w:r>
          </w:p>
        </w:tc>
      </w:tr>
      <w:tr>
        <w:trPr>
          <w:cantSplit/>
        </w:trPr>
        <w:tc>
          <w:tcPr>
            <w:tcW w:type="dxa" w:w="290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PROTECTED OUTCOME</w:t>
            </w:r>
          </w:p>
        </w:tc>
        <w:tc>
          <w:tcPr>
            <w:tcW w:type="dxa" w:w="7128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The delivery window before the relevant POG reset. The result is shelves and displays prepared for the planned floor set, not a preferred clock time in isolation.</w:t>
            </w:r>
          </w:p>
        </w:tc>
      </w:tr>
      <w:tr>
        <w:trPr>
          <w:cantSplit/>
        </w:trPr>
        <w:tc>
          <w:tcPr>
            <w:tcW w:type="dxa" w:w="290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STOPPING BOUNDARY</w:t>
            </w:r>
          </w:p>
        </w:tc>
        <w:tc>
          <w:tcPr>
            <w:tcW w:type="dxa" w:w="7128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If Duncastle will not protect that usable pre-reset window, stop conceding, restate the requirement, and do not endorse renewal on this operating position.</w:t>
            </w:r>
          </w:p>
        </w:tc>
      </w:tr>
    </w:tbl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SHARED DEFINITION BEFORE BARGAINING</w:t>
      </w:r>
    </w:p>
    <w:p>
      <w:pPr>
        <w:spacing w:after="60"/>
      </w:pPr>
      <w:r>
        <w:rPr>
          <w:rFonts w:ascii="Aptos" w:hAnsi="Aptos"/>
          <w:b/>
          <w:i w:val="0"/>
          <w:color w:val="17365D"/>
          <w:sz w:val="18"/>
        </w:rPr>
        <w:t xml:space="preserve">On time </w:t>
      </w:r>
      <w:r>
        <w:rPr>
          <w:rFonts w:ascii="Aptos" w:hAnsi="Aptos"/>
          <w:b w:val="0"/>
          <w:i w:val="0"/>
          <w:sz w:val="18"/>
        </w:rPr>
        <w:t>means arrival early enough for the receiving, replenishment and floor-set preparation required before the applicable POG reset. Duncastle may reasonably use “on time” to mean physically received on the scheduled calendar day; Sheafield’s operating requirement is a usable delivery. A pallet received after the preparation window is physically received, but the merchandise is not available in time for its intended floor work.</w:t>
      </w:r>
    </w:p>
    <w:p>
      <w:pPr>
        <w:spacing w:after="80"/>
      </w:pPr>
      <w:r>
        <w:rPr>
          <w:rFonts w:ascii="Aptos" w:hAnsi="Aptos"/>
          <w:b w:val="0"/>
          <w:i/>
          <w:color w:val="5B6670"/>
          <w:sz w:val="17"/>
        </w:rPr>
        <w:t>Apply a common outcome standard, not an identical clock across every store: reset timing and receiving capacity can vary by store or reset. The agreed window must be early enough for the affected store’s pre-reset work.</w:t>
      </w:r>
    </w:p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OPERATING AND COMMERCIAL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069"/>
      </w:tblGrid>
      <w:tr>
        <w:tc>
          <w:tcPr>
            <w:tcW w:type="dxa" w:w="5328"/>
            <w:tcMar>
              <w:top w:w="85" w:type="dxa"/>
              <w:start w:w="105" w:type="dxa"/>
              <w:bottom w:w="85" w:type="dxa"/>
              <w:end w:w="105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KNOWN OPERATING EVIDENCE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Service pattern. </w:t>
            </w:r>
            <w:r>
              <w:rPr>
                <w:rFonts w:ascii="Aptos" w:hAnsi="Aptos"/>
                <w:b w:val="0"/>
                <w:i w:val="0"/>
                <w:sz w:val="17"/>
              </w:rPr>
              <w:t>6 a.m. Tuesday delivery; eleven arrivals after noon since March.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Floor effect. </w:t>
            </w:r>
            <w:r>
              <w:rPr>
                <w:rFonts w:ascii="Aptos" w:hAnsi="Aptos"/>
                <w:b w:val="0"/>
                <w:i w:val="0"/>
                <w:sz w:val="17"/>
              </w:rPr>
              <w:t>Late stock disrupts Saturday floor sets and POG-reset preparation.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Leadership effect. </w:t>
            </w:r>
            <w:r>
              <w:rPr>
                <w:rFonts w:ascii="Aptos" w:hAnsi="Aptos"/>
                <w:b w:val="0"/>
                <w:i w:val="0"/>
                <w:sz w:val="17"/>
              </w:rPr>
              <w:t>Colleagues are redeployed from planned set and replenishment work; customer-facing availability and selling time can be put under pressure.</w:t>
            </w:r>
          </w:p>
        </w:tc>
        <w:tc>
          <w:tcPr>
            <w:tcW w:type="dxa" w:w="5328"/>
            <w:tcMar>
              <w:top w:w="85" w:type="dxa"/>
              <w:start w:w="105" w:type="dxa"/>
              <w:bottom w:w="85" w:type="dxa"/>
              <w:end w:w="105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DISCIPLINE FOR THE CALL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Evidence limit. </w:t>
            </w:r>
            <w:r>
              <w:rPr>
                <w:rFonts w:ascii="Aptos" w:hAnsi="Aptos"/>
                <w:b w:val="0"/>
                <w:i w:val="0"/>
                <w:sz w:val="17"/>
              </w:rPr>
              <w:t>The reported late-delivery history is not a complete cost ledger. Do not state historical savings, charges, losses, labour hours or service rates as facts.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Leverage. </w:t>
            </w:r>
            <w:r>
              <w:rPr>
                <w:rFonts w:ascii="Aptos" w:hAnsi="Aptos"/>
                <w:b w:val="0"/>
                <w:i w:val="0"/>
                <w:sz w:val="17"/>
              </w:rPr>
              <w:t>Use the operating consequence to explain why a usable window matters; it is not a certification of damages or contractual liability.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/>
                <w:b/>
                <w:i w:val="0"/>
                <w:color w:val="17365D"/>
                <w:sz w:val="17"/>
              </w:rPr>
              <w:t xml:space="preserve">• </w:t>
            </w:r>
            <w:r>
              <w:rPr>
                <w:rFonts w:ascii="Aptos" w:hAnsi="Aptos"/>
                <w:b/>
                <w:i w:val="0"/>
                <w:sz w:val="17"/>
              </w:rPr>
              <w:t xml:space="preserve">Authority. </w:t>
            </w:r>
            <w:r>
              <w:rPr>
                <w:rFonts w:ascii="Aptos" w:hAnsi="Aptos"/>
                <w:b w:val="0"/>
                <w:i w:val="0"/>
                <w:sz w:val="17"/>
              </w:rPr>
              <w:t>Legal/procurement interpret contract wording, remedies and enforceability. Finance validates any budget, saving or chargeback effect before commitment.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17365D"/>
          <w:sz w:val="29"/>
        </w:rPr>
        <w:t>LIVE CALL PLAYBOOK</w:t>
      </w:r>
      <w:r>
        <w:rPr>
          <w:rFonts w:ascii="Aptos" w:hAnsi="Aptos"/>
          <w:b w:val="0"/>
          <w:i w:val="0"/>
          <w:color w:val="5B6670"/>
          <w:sz w:val="18"/>
        </w:rPr>
        <w:t xml:space="preserve">  |  Move in order. Every move is conditional.</w:t>
      </w:r>
    </w:p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CONCESSION SEQUENCE: VALUE ONLY FOR A USABLE TUESDAY COMMITMENT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4104"/>
        <w:gridCol w:w="2909"/>
      </w:tblGrid>
      <w:tr>
        <w:trPr>
          <w:tblHeader w:val="true"/>
          <w:cantSplit/>
        </w:trPr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MOVE</w:t>
            </w:r>
          </w:p>
        </w:tc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TRADEABLE TERM</w:t>
            </w:r>
          </w:p>
        </w:tc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OFFER ONLY IF DUNCASTLE...</w:t>
            </w:r>
          </w:p>
        </w:tc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SHEAFIELD SEEKS / WHY IT MATTERS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DCE6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1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Consolidated pallets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commits to the usable Tuesday pre-reset window, named escalation contact, and a simple weekly exception review.</w:t>
            </w:r>
          </w:p>
        </w:tc>
        <w:tc>
          <w:tcPr>
            <w:tcW w:type="dxa" w:w="2909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Seek: fewer handling touches / a more predictable load build for Duncastle, in exchange for a reliable arrival plan. This is first because it is operationally reversible and does not dilute the service outcome.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DCE6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2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Later Thursday drop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keeps the Tuesday window intact and confirms Thursday timing will not interfere with the applicable store work.</w:t>
            </w:r>
          </w:p>
        </w:tc>
        <w:tc>
          <w:tcPr>
            <w:tcW w:type="dxa" w:w="2909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Seek: route flexibility or stop sequencing that may reduce Duncastle’s route pressure, in exchange for the protected Tuesday result. Thursday flexibility is separate from Tuesday usability.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DCE6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3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Small-carton chargeback claims / chargeback waiver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has first delivered the protected Tuesday commitment and offers a measurable service-recovery commitment for misses.</w:t>
            </w:r>
          </w:p>
        </w:tc>
        <w:tc>
          <w:tcPr>
            <w:tcW w:type="dxa" w:w="2909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5"/>
              </w:rPr>
              <w:t>Seek: reliable-window performance evidence, prompt exception notification and a recovery plan. Chargeback relief is last: it has commercial value and must not be offered before lower-cost options are tested.</w:t>
            </w:r>
          </w:p>
        </w:tc>
      </w:tr>
    </w:tbl>
    <w:p>
      <w:pPr>
        <w:spacing w:before="60" w:after="60"/>
      </w:pPr>
      <w:r>
        <w:rPr>
          <w:rFonts w:ascii="Aptos" w:hAnsi="Aptos"/>
          <w:b/>
          <w:i w:val="0"/>
          <w:color w:val="17365D"/>
          <w:sz w:val="17"/>
        </w:rPr>
        <w:t xml:space="preserve">UNDER PRESSURE: </w:t>
      </w:r>
      <w:r>
        <w:rPr>
          <w:rFonts w:ascii="Aptos" w:hAnsi="Aptos"/>
          <w:b w:val="0"/>
          <w:i w:val="0"/>
          <w:sz w:val="17"/>
        </w:rPr>
        <w:t>Do not jump ahead. Ask for the Tuesday commitment; offer move 1 only for its stated return; test move 2 only if more route value is needed; reserve chargeback relief for move 3. If the window is refused or blurred into “same-day delivery,” stop and restate the boundary.</w:t>
      </w:r>
    </w:p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LIKELY PUSHBACK AND VALERIA’S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49"/>
      </w:tblGrid>
      <w:tr>
        <w:trPr>
          <w:cantSplit/>
        </w:trPr>
        <w:tc>
          <w:tcPr>
            <w:tcW w:type="dxa" w:w="5328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STELLAN MAY SAY</w:t>
            </w:r>
          </w:p>
        </w:tc>
        <w:tc>
          <w:tcPr>
            <w:tcW w:type="dxa" w:w="5328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“Reducing stops or lowering route cost needs more flexibility.”</w:t>
            </w:r>
          </w:p>
        </w:tc>
      </w:tr>
      <w:tr>
        <w:trPr>
          <w:cantSplit/>
        </w:trPr>
        <w:tc>
          <w:tcPr>
            <w:tcW w:type="dxa" w:w="5328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VALERIA SAYS</w:t>
            </w:r>
          </w:p>
        </w:tc>
        <w:tc>
          <w:tcPr>
            <w:tcW w:type="dxa" w:w="5328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“We can explore consolidated pallets and a later Thursday drop because those may help your route. But route efficiency cannot substitute for stock being usable before the Tuesday POG reset. Give us a reliable delivery window, then we can trade those options in order.”</w:t>
            </w:r>
          </w:p>
        </w:tc>
      </w:tr>
    </w:tbl>
    <w:p>
      <w:pPr>
        <w:keepNext/>
        <w:spacing w:before="100" w:after="40"/>
      </w:pPr>
      <w:r>
        <w:rPr>
          <w:rFonts w:ascii="Aptos" w:hAnsi="Aptos"/>
          <w:b/>
          <w:i w:val="0"/>
          <w:color w:val="17365D"/>
          <w:sz w:val="20"/>
        </w:rPr>
        <w:t>USEFUL CALL LANGUAGE AND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26"/>
      </w:tblGrid>
      <w:tr>
        <w:tc>
          <w:tcPr>
            <w:tcW w:type="dxa" w:w="5328"/>
            <w:shd w:fill="F3F6F8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ASK FOR THE COMMITMENT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6"/>
              </w:rPr>
              <w:t>“Can Duncastle commit to a reliable delivery window early enough for each affected store to complete receiving, replenishment and pre-reset preparation before its POG reset?”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“If the answer is no, I cannot recommend moving our position on secondary terms.”</w:t>
            </w:r>
          </w:p>
        </w:tc>
        <w:tc>
          <w:tcPr>
            <w:tcW w:type="dxa" w:w="5328"/>
            <w:shd w:fill="F3F6F8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DEFER WITHOUT SURRENDERING THE POSITION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6"/>
              </w:rPr>
              <w:t>“I can describe the operating impact; I cannot validate a cost, chargeback amount or legal remedy on this call. Finance must validate financial effects, and legal/procurement must interpret any contractual position before commitment.”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5B6670"/>
                <w:sz w:val="16"/>
              </w:rPr>
              <w:t>Keep service-level reliability separate from commercial remedies; neither is a substitute for the other.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E8C36A"/>
                <w:sz w:val="16"/>
              </w:rPr>
              <w:t>DECISION TO TAKE INTO THE CALL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 renewal only with Duncastle’s reliable Tuesday delivery window that protects the applicable pre-POG-reset work; trade consolidated pallets, a later Thursday drop, then small-carton chargeback relief only as conditional exchanges, and do not concede the protected window.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48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670"/>
        <w:sz w:val="14"/>
      </w:rPr>
      <w:t xml:space="preserve">Confidential internal operating position  |  Renewal call preparation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670"/>
        <w:sz w:val="15"/>
      </w:rPr>
      <w:t>SHEAFIELD HOLDINGS  |  EXECUTIVE CALL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