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pPr>
      <w:r>
        <w:rPr>
          <w:b/>
          <w:i w:val="0"/>
          <w:color w:val="A56B2A"/>
          <w:sz w:val="18"/>
        </w:rPr>
        <w:t>MEMORANDUM</w:t>
      </w:r>
    </w:p>
    <w:p>
      <w:pPr>
        <w:spacing w:after="40"/>
      </w:pPr>
      <w:r>
        <w:rPr>
          <w:b/>
          <w:i w:val="0"/>
          <w:color w:val="204D43"/>
          <w:sz w:val="34"/>
        </w:rPr>
        <w:t>Notice of Non-Renewal and Transition Framework</w:t>
      </w:r>
    </w:p>
    <w:tbl>
      <w:tblPr>
        <w:tblW w:type="auto" w:w="0"/>
        <w:jc w:val="left"/>
        <w:tblLayout w:type="fixed"/>
        <w:tblLook w:firstColumn="1" w:firstRow="1" w:lastColumn="0" w:lastRow="0" w:noHBand="0" w:noVBand="1" w:val="04A0"/>
      </w:tblPr>
      <w:tblGrid>
        <w:gridCol w:w="5227"/>
        <w:gridCol w:w="5227"/>
      </w:tblGrid>
      <w:tr>
        <w:tc>
          <w:tcPr>
            <w:tcW w:type="dxa" w:w="1180"/>
            <w:tcMar>
              <w:top w:w="34" w:type="dxa"/>
              <w:start w:w="40" w:type="dxa"/>
              <w:bottom w:w="34" w:type="dxa"/>
              <w:end w:w="40" w:type="dxa"/>
            </w:tcMar>
            <w:shd w:fill="EAF1EE"/>
          </w:tcPr>
          <w:p>
            <w:pPr>
              <w:spacing w:after="0"/>
            </w:pPr>
            <w:r>
              <w:rPr>
                <w:b/>
                <w:i w:val="0"/>
                <w:color w:val="204D43"/>
                <w:sz w:val="17"/>
              </w:rPr>
              <w:t>To</w:t>
            </w:r>
          </w:p>
        </w:tc>
        <w:tc>
          <w:tcPr>
            <w:tcW w:type="dxa" w:w="8611"/>
            <w:tcMar>
              <w:top w:w="34" w:type="dxa"/>
              <w:start w:w="40" w:type="dxa"/>
              <w:bottom w:w="34" w:type="dxa"/>
              <w:end w:w="40" w:type="dxa"/>
            </w:tcMar>
          </w:tcPr>
          <w:p>
            <w:pPr>
              <w:spacing w:after="0"/>
            </w:pPr>
            <w:r>
              <w:rPr>
                <w:b w:val="0"/>
                <w:i w:val="0"/>
                <w:sz w:val="17"/>
              </w:rPr>
              <w:t>Perpetua Odell, Franchisee</w:t>
            </w:r>
          </w:p>
        </w:tc>
      </w:tr>
      <w:tr>
        <w:tc>
          <w:tcPr>
            <w:tcW w:type="dxa" w:w="1180"/>
            <w:tcMar>
              <w:top w:w="34" w:type="dxa"/>
              <w:start w:w="40" w:type="dxa"/>
              <w:bottom w:w="34" w:type="dxa"/>
              <w:end w:w="40" w:type="dxa"/>
            </w:tcMar>
            <w:shd w:fill="EAF1EE"/>
          </w:tcPr>
          <w:p>
            <w:pPr>
              <w:spacing w:after="0"/>
            </w:pPr>
            <w:r>
              <w:rPr>
                <w:b/>
                <w:i w:val="0"/>
                <w:color w:val="204D43"/>
                <w:sz w:val="17"/>
              </w:rPr>
              <w:t>From</w:t>
            </w:r>
          </w:p>
        </w:tc>
        <w:tc>
          <w:tcPr>
            <w:tcW w:type="dxa" w:w="8611"/>
            <w:tcMar>
              <w:top w:w="34" w:type="dxa"/>
              <w:start w:w="40" w:type="dxa"/>
              <w:bottom w:w="34" w:type="dxa"/>
              <w:end w:w="40" w:type="dxa"/>
            </w:tcMar>
          </w:tcPr>
          <w:p>
            <w:pPr>
              <w:spacing w:after="0"/>
            </w:pPr>
            <w:r>
              <w:rPr>
                <w:b w:val="0"/>
                <w:i w:val="0"/>
                <w:sz w:val="17"/>
              </w:rPr>
              <w:t>Marchmont Coffee Houses | Franchise Operations</w:t>
            </w:r>
          </w:p>
        </w:tc>
      </w:tr>
      <w:tr>
        <w:tc>
          <w:tcPr>
            <w:tcW w:type="dxa" w:w="1180"/>
            <w:tcMar>
              <w:top w:w="34" w:type="dxa"/>
              <w:start w:w="40" w:type="dxa"/>
              <w:bottom w:w="34" w:type="dxa"/>
              <w:end w:w="40" w:type="dxa"/>
            </w:tcMar>
            <w:shd w:fill="EAF1EE"/>
          </w:tcPr>
          <w:p>
            <w:pPr>
              <w:spacing w:after="0"/>
            </w:pPr>
            <w:r>
              <w:rPr>
                <w:b/>
                <w:i w:val="0"/>
                <w:color w:val="204D43"/>
                <w:sz w:val="17"/>
              </w:rPr>
              <w:t>Date</w:t>
            </w:r>
          </w:p>
        </w:tc>
        <w:tc>
          <w:tcPr>
            <w:tcW w:type="dxa" w:w="8611"/>
            <w:tcMar>
              <w:top w:w="34" w:type="dxa"/>
              <w:start w:w="40" w:type="dxa"/>
              <w:bottom w:w="34" w:type="dxa"/>
              <w:end w:w="40" w:type="dxa"/>
            </w:tcMar>
          </w:tcPr>
          <w:p>
            <w:pPr>
              <w:spacing w:after="0"/>
            </w:pPr>
            <w:r>
              <w:rPr>
                <w:b w:val="0"/>
                <w:i w:val="0"/>
                <w:sz w:val="17"/>
              </w:rPr>
              <w:t>9 January 2026</w:t>
            </w:r>
          </w:p>
        </w:tc>
      </w:tr>
      <w:tr>
        <w:tc>
          <w:tcPr>
            <w:tcW w:type="dxa" w:w="1180"/>
            <w:tcMar>
              <w:top w:w="34" w:type="dxa"/>
              <w:start w:w="40" w:type="dxa"/>
              <w:bottom w:w="34" w:type="dxa"/>
              <w:end w:w="40" w:type="dxa"/>
            </w:tcMar>
            <w:shd w:fill="EAF1EE"/>
          </w:tcPr>
          <w:p>
            <w:pPr>
              <w:spacing w:after="0"/>
            </w:pPr>
            <w:r>
              <w:rPr>
                <w:b/>
                <w:i w:val="0"/>
                <w:color w:val="204D43"/>
                <w:sz w:val="17"/>
              </w:rPr>
              <w:t>Subject</w:t>
            </w:r>
          </w:p>
        </w:tc>
        <w:tc>
          <w:tcPr>
            <w:tcW w:type="dxa" w:w="8611"/>
            <w:tcMar>
              <w:top w:w="34" w:type="dxa"/>
              <w:start w:w="40" w:type="dxa"/>
              <w:bottom w:w="34" w:type="dxa"/>
              <w:end w:w="40" w:type="dxa"/>
            </w:tcMar>
          </w:tcPr>
          <w:p>
            <w:pPr>
              <w:spacing w:after="0"/>
            </w:pPr>
            <w:r>
              <w:rPr>
                <w:b w:val="0"/>
                <w:i w:val="0"/>
                <w:sz w:val="17"/>
              </w:rPr>
              <w:t>Willowmere Station and Kingsway Market franchise agreements</w:t>
            </w:r>
          </w:p>
        </w:tc>
      </w:tr>
    </w:tbl>
    <w:p>
      <w:pPr>
        <w:pStyle w:val="Body"/>
        <w:spacing w:before="120"/>
      </w:pPr>
      <w:r>
        <w:rPr>
          <w:b/>
          <w:i w:val="0"/>
          <w:color w:val="204D43"/>
        </w:rPr>
        <w:t>Perpetua,</w:t>
      </w:r>
    </w:p>
    <w:p>
      <w:pPr>
        <w:pStyle w:val="Body"/>
      </w:pPr>
      <w:r>
        <w:rPr>
          <w:b w:val="0"/>
          <w:i w:val="0"/>
        </w:rPr>
        <w:t>Marchmont recognizes your twelve years of operating the Willowmere Station and Kingsway Market coffee houses. This memorandum gives formal notice of the approved decision, an indicative buyout estimate, and a practical path through expiry. It is intended to support an orderly decision and transition; it is not a substitute for the agreements or for advice you may wish to obtain.</w:t>
      </w:r>
    </w:p>
    <w:p>
      <w:pPr>
        <w:pStyle w:val="Heading1"/>
        <w:pBdr>
          <w:bottom w:val="single" w:sz="14" w:space="5" w:color="A56B2A"/>
        </w:pBdr>
      </w:pPr>
      <w:r>
        <w:rPr>
          <w:b/>
          <w:i w:val="0"/>
          <w:color w:val="A56B2A"/>
        </w:rPr>
        <w:t xml:space="preserve">1. </w:t>
      </w:r>
      <w:r>
        <w:rPr>
          <w:b/>
          <w:i w:val="0"/>
          <w:color w:val="204D43"/>
        </w:rPr>
        <w:t>Formal notice and scope</w:t>
      </w:r>
    </w:p>
    <w:p>
      <w:pPr>
        <w:pStyle w:val="Body"/>
      </w:pPr>
      <w:r>
        <w:rPr>
          <w:b/>
          <w:i w:val="0"/>
          <w:color w:val="204D43"/>
        </w:rPr>
        <w:t xml:space="preserve">Confirmed decision. </w:t>
      </w:r>
      <w:r>
        <w:rPr>
          <w:b w:val="0"/>
          <w:i w:val="0"/>
        </w:rPr>
        <w:t xml:space="preserve">President Idris Vanterpool has approved the decision that Marchmont Coffee Houses will not renew either of your franchise agreements: Willowmere Station and Kingsway Market. Both agreements expire on </w:t>
      </w:r>
      <w:r>
        <w:rPr>
          <w:b/>
          <w:i w:val="0"/>
          <w:color w:val="204D43"/>
        </w:rPr>
        <w:t>31 March 2026</w:t>
      </w:r>
      <w:r>
        <w:rPr>
          <w:b w:val="0"/>
          <w:i w:val="0"/>
        </w:rPr>
        <w:t>, and no renewal is being offered after that date.</w:t>
      </w:r>
    </w:p>
    <w:p>
      <w:pPr>
        <w:pStyle w:val="Body"/>
      </w:pPr>
      <w:r>
        <w:rPr>
          <w:b/>
          <w:i w:val="0"/>
          <w:color w:val="204D43"/>
        </w:rPr>
        <w:t xml:space="preserve">Business context. </w:t>
      </w:r>
      <w:r>
        <w:rPr>
          <w:b w:val="0"/>
          <w:i w:val="0"/>
        </w:rPr>
        <w:t>The decision follows the two poor review cycles and the need for a clear operating outcome for both locations. We acknowledge that the recent period has been difficult without assigning personal circumstances as a reason or fault. The approved decision is final for these agreements; a later review-cycle improvement would not change the non-renewal.</w:t>
      </w:r>
    </w:p>
    <w:p>
      <w:pPr>
        <w:pStyle w:val="Body"/>
      </w:pPr>
      <w:r>
        <w:rPr>
          <w:b/>
          <w:i w:val="0"/>
          <w:color w:val="204D43"/>
        </w:rPr>
        <w:t xml:space="preserve">What this does and does not mean. </w:t>
      </w:r>
      <w:r>
        <w:rPr>
          <w:b w:val="0"/>
          <w:i w:val="0"/>
        </w:rPr>
        <w:t>You may continue operating under the existing agreements through 31 March 2026, subject to their existing terms. This notice concerns non-renewal. It does not decide the final reconciliation of accounts, the treatment of any particular asset, or any matter that still requires confirmation.</w:t>
      </w:r>
    </w:p>
    <w:p>
      <w:pPr>
        <w:pStyle w:val="Heading1"/>
        <w:pBdr>
          <w:bottom w:val="single" w:sz="14" w:space="5" w:color="A56B2A"/>
        </w:pBdr>
      </w:pPr>
      <w:r>
        <w:rPr>
          <w:b/>
          <w:i w:val="0"/>
          <w:color w:val="A56B2A"/>
        </w:rPr>
        <w:t xml:space="preserve">2. </w:t>
      </w:r>
      <w:r>
        <w:rPr>
          <w:b/>
          <w:i w:val="0"/>
          <w:color w:val="204D43"/>
        </w:rPr>
        <w:t>Available path through expiry</w:t>
      </w:r>
    </w:p>
    <w:p>
      <w:pPr>
        <w:pStyle w:val="Body"/>
      </w:pPr>
      <w:r>
        <w:rPr>
          <w:b/>
          <w:i w:val="0"/>
          <w:color w:val="204D43"/>
        </w:rPr>
        <w:t xml:space="preserve">Transfer remains open. </w:t>
      </w:r>
      <w:r>
        <w:rPr>
          <w:b w:val="0"/>
          <w:i w:val="0"/>
        </w:rPr>
        <w:t>A sale or transfer to another Marchmont franchisee may be pursued for either or both locations through the 31 March 2026 expiry. This is not a renewal of your agreements and is not guaranteed: a suitable recipient, required review, and timely completion would still be needed. To preserve a workable transition window, please tell us by 14 February 2026 if you want transfer discussions or an introduction process to be considered.</w:t>
      </w:r>
    </w:p>
    <w:p>
      <w:pPr>
        <w:pStyle w:val="Body"/>
      </w:pPr>
      <w:r>
        <w:rPr>
          <w:b/>
          <w:i w:val="0"/>
          <w:color w:val="204D43"/>
        </w:rPr>
        <w:t xml:space="preserve">Contact and choice. </w:t>
      </w:r>
      <w:r>
        <w:rPr>
          <w:b w:val="0"/>
          <w:i w:val="0"/>
        </w:rPr>
        <w:t>For transfer discussions or questions on the estimate, contact Bianca Boateng at Wrenfield Associates through the Wrenfield case contact, with a copy to Marchmont Franchise Operations. You may also obtain independent advice. If you do not pursue a transfer, you may operate through expiry and follow the orderly wind-down and handover described below.</w:t>
      </w:r>
    </w:p>
    <w:p>
      <w:pPr>
        <w:pStyle w:val="Heading1"/>
        <w:pBdr>
          <w:bottom w:val="single" w:sz="14" w:space="5" w:color="A56B2A"/>
        </w:pBdr>
      </w:pPr>
      <w:r>
        <w:rPr>
          <w:b/>
          <w:i w:val="0"/>
          <w:color w:val="A56B2A"/>
        </w:rPr>
        <w:t xml:space="preserve">3. </w:t>
      </w:r>
      <w:r>
        <w:rPr>
          <w:b/>
          <w:i w:val="0"/>
          <w:color w:val="204D43"/>
        </w:rPr>
        <w:t>Indicative buyout valuation</w:t>
      </w:r>
    </w:p>
    <w:p>
      <w:pPr>
        <w:pStyle w:val="Body"/>
      </w:pPr>
      <w:r>
        <w:rPr>
          <w:b/>
          <w:i w:val="0"/>
          <w:color w:val="204D43"/>
        </w:rPr>
        <w:t xml:space="preserve">Estimated only. </w:t>
      </w:r>
      <w:r>
        <w:rPr>
          <w:b w:val="0"/>
          <w:i w:val="0"/>
        </w:rPr>
        <w:t>The figures below are a transparent working estimate for discussion and planning, not a settled contractual entitlement, guaranteed payment, or final account. “Eligible” means the item is assumed capable of being included after confirmation; it does not decide ownership or final treatment.</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4867"/>
            <w:tcMar>
              <w:top w:w="80" w:type="dxa"/>
              <w:start w:w="90" w:type="dxa"/>
              <w:bottom w:w="80" w:type="dxa"/>
              <w:end w:w="90" w:type="dxa"/>
            </w:tcMar>
            <w:vAlign w:val="center"/>
            <w:shd w:fill="204D43"/>
          </w:tcPr>
          <w:p>
            <w:pPr>
              <w:spacing w:after="0" w:before="0" w:line="240" w:lineRule="auto"/>
            </w:pPr>
            <w:r>
              <w:rPr>
                <w:rFonts w:ascii="Aptos" w:hAnsi="Aptos"/>
                <w:b/>
                <w:color w:val="FFFFFF"/>
                <w:sz w:val="15"/>
              </w:rPr>
              <w:t>Estimated component (USD)</w:t>
            </w:r>
          </w:p>
        </w:tc>
        <w:tc>
          <w:tcPr>
            <w:tcW w:type="dxa" w:w="1699"/>
            <w:tcMar>
              <w:top w:w="80" w:type="dxa"/>
              <w:start w:w="90" w:type="dxa"/>
              <w:bottom w:w="80" w:type="dxa"/>
              <w:end w:w="90" w:type="dxa"/>
            </w:tcMar>
            <w:vAlign w:val="center"/>
            <w:shd w:fill="204D43"/>
          </w:tcPr>
          <w:p>
            <w:pPr>
              <w:spacing w:after="0" w:before="0" w:line="240" w:lineRule="auto"/>
            </w:pPr>
            <w:r>
              <w:rPr>
                <w:rFonts w:ascii="Aptos" w:hAnsi="Aptos"/>
                <w:b/>
                <w:color w:val="FFFFFF"/>
                <w:sz w:val="15"/>
              </w:rPr>
              <w:t>Willowmere</w:t>
              <w:br/>
              <w:t>Station</w:t>
            </w:r>
          </w:p>
        </w:tc>
        <w:tc>
          <w:tcPr>
            <w:tcW w:type="dxa" w:w="1699"/>
            <w:tcMar>
              <w:top w:w="80" w:type="dxa"/>
              <w:start w:w="90" w:type="dxa"/>
              <w:bottom w:w="80" w:type="dxa"/>
              <w:end w:w="90" w:type="dxa"/>
            </w:tcMar>
            <w:vAlign w:val="center"/>
            <w:shd w:fill="204D43"/>
          </w:tcPr>
          <w:p>
            <w:pPr>
              <w:spacing w:after="0" w:before="0" w:line="240" w:lineRule="auto"/>
            </w:pPr>
            <w:r>
              <w:rPr>
                <w:rFonts w:ascii="Aptos" w:hAnsi="Aptos"/>
                <w:b/>
                <w:color w:val="FFFFFF"/>
                <w:sz w:val="15"/>
              </w:rPr>
              <w:t>Kingsway</w:t>
              <w:br/>
              <w:t>Market</w:t>
            </w:r>
          </w:p>
        </w:tc>
        <w:tc>
          <w:tcPr>
            <w:tcW w:type="dxa" w:w="1699"/>
            <w:tcMar>
              <w:top w:w="80" w:type="dxa"/>
              <w:start w:w="90" w:type="dxa"/>
              <w:bottom w:w="80" w:type="dxa"/>
              <w:end w:w="90" w:type="dxa"/>
            </w:tcMar>
            <w:vAlign w:val="center"/>
            <w:shd w:fill="204D43"/>
          </w:tcPr>
          <w:p>
            <w:pPr>
              <w:spacing w:after="0" w:before="0" w:line="240" w:lineRule="auto"/>
            </w:pPr>
            <w:r>
              <w:rPr>
                <w:rFonts w:ascii="Aptos" w:hAnsi="Aptos"/>
                <w:b/>
                <w:color w:val="FFFFFF"/>
                <w:sz w:val="15"/>
              </w:rPr>
              <w:t>Combined</w:t>
            </w:r>
          </w:p>
        </w:tc>
      </w:tr>
      <w:tr>
        <w:tc>
          <w:tcPr>
            <w:tcW w:type="dxa" w:w="4867"/>
            <w:tcMar>
              <w:top w:w="80" w:type="dxa"/>
              <w:start w:w="90" w:type="dxa"/>
              <w:bottom w:w="80" w:type="dxa"/>
              <w:end w:w="90" w:type="dxa"/>
            </w:tcMar>
            <w:vAlign w:val="center"/>
          </w:tcPr>
          <w:p>
            <w:pPr>
              <w:spacing w:after="0" w:before="0" w:line="240" w:lineRule="auto"/>
            </w:pPr>
            <w:r>
              <w:rPr>
                <w:rFonts w:ascii="Aptos" w:hAnsi="Aptos"/>
                <w:color w:val="1E2A2C"/>
                <w:sz w:val="15"/>
              </w:rPr>
              <w:t>Transferable operating value</w:t>
            </w:r>
          </w:p>
        </w:tc>
        <w:tc>
          <w:tcPr>
            <w:tcW w:type="dxa" w:w="1699"/>
            <w:tcMar>
              <w:top w:w="80" w:type="dxa"/>
              <w:start w:w="90" w:type="dxa"/>
              <w:bottom w:w="80" w:type="dxa"/>
              <w:end w:w="90" w:type="dxa"/>
            </w:tcMar>
            <w:vAlign w:val="center"/>
          </w:tcPr>
          <w:p>
            <w:pPr>
              <w:spacing w:after="0" w:before="0" w:line="240" w:lineRule="auto"/>
            </w:pPr>
            <w:r>
              <w:rPr>
                <w:rFonts w:ascii="Aptos" w:hAnsi="Aptos"/>
                <w:color w:val="1E2A2C"/>
                <w:sz w:val="15"/>
              </w:rPr>
              <w:t>$86,000</w:t>
            </w:r>
          </w:p>
        </w:tc>
        <w:tc>
          <w:tcPr>
            <w:tcW w:type="dxa" w:w="1699"/>
            <w:tcMar>
              <w:top w:w="80" w:type="dxa"/>
              <w:start w:w="90" w:type="dxa"/>
              <w:bottom w:w="80" w:type="dxa"/>
              <w:end w:w="90" w:type="dxa"/>
            </w:tcMar>
            <w:vAlign w:val="center"/>
          </w:tcPr>
          <w:p>
            <w:pPr>
              <w:spacing w:after="0" w:before="0" w:line="240" w:lineRule="auto"/>
            </w:pPr>
            <w:r>
              <w:rPr>
                <w:rFonts w:ascii="Aptos" w:hAnsi="Aptos"/>
                <w:color w:val="1E2A2C"/>
                <w:sz w:val="15"/>
              </w:rPr>
              <w:t>$74,000</w:t>
            </w:r>
          </w:p>
        </w:tc>
        <w:tc>
          <w:tcPr>
            <w:tcW w:type="dxa" w:w="1699"/>
            <w:tcMar>
              <w:top w:w="80" w:type="dxa"/>
              <w:start w:w="90" w:type="dxa"/>
              <w:bottom w:w="80" w:type="dxa"/>
              <w:end w:w="90" w:type="dxa"/>
            </w:tcMar>
            <w:vAlign w:val="center"/>
          </w:tcPr>
          <w:p>
            <w:pPr>
              <w:spacing w:after="0" w:before="0" w:line="240" w:lineRule="auto"/>
            </w:pPr>
            <w:r>
              <w:rPr>
                <w:rFonts w:ascii="Aptos" w:hAnsi="Aptos"/>
                <w:color w:val="1E2A2C"/>
                <w:sz w:val="15"/>
              </w:rPr>
              <w:t>$160,000</w:t>
            </w:r>
          </w:p>
        </w:tc>
      </w:tr>
      <w:tr>
        <w:tc>
          <w:tcPr>
            <w:tcW w:type="dxa" w:w="4867"/>
            <w:tcMar>
              <w:top w:w="80" w:type="dxa"/>
              <w:start w:w="90" w:type="dxa"/>
              <w:bottom w:w="80" w:type="dxa"/>
              <w:end w:w="90" w:type="dxa"/>
            </w:tcMar>
            <w:vAlign w:val="center"/>
            <w:shd w:fill="EAF1EE"/>
          </w:tcPr>
          <w:p>
            <w:pPr>
              <w:spacing w:after="0" w:before="0" w:line="240" w:lineRule="auto"/>
            </w:pPr>
            <w:r>
              <w:rPr>
                <w:rFonts w:ascii="Aptos" w:hAnsi="Aptos"/>
                <w:color w:val="1E2A2C"/>
                <w:sz w:val="15"/>
              </w:rPr>
              <w:t>Eligible inventory at book cost</w:t>
            </w:r>
          </w:p>
        </w:tc>
        <w:tc>
          <w:tcPr>
            <w:tcW w:type="dxa" w:w="1699"/>
            <w:tcMar>
              <w:top w:w="80" w:type="dxa"/>
              <w:start w:w="90" w:type="dxa"/>
              <w:bottom w:w="80" w:type="dxa"/>
              <w:end w:w="90" w:type="dxa"/>
            </w:tcMar>
            <w:vAlign w:val="center"/>
            <w:shd w:fill="EAF1EE"/>
          </w:tcPr>
          <w:p>
            <w:pPr>
              <w:spacing w:after="0" w:before="0" w:line="240" w:lineRule="auto"/>
            </w:pPr>
            <w:r>
              <w:rPr>
                <w:rFonts w:ascii="Aptos" w:hAnsi="Aptos"/>
                <w:color w:val="1E2A2C"/>
                <w:sz w:val="15"/>
              </w:rPr>
              <w:t>$9,500</w:t>
            </w:r>
          </w:p>
        </w:tc>
        <w:tc>
          <w:tcPr>
            <w:tcW w:type="dxa" w:w="1699"/>
            <w:tcMar>
              <w:top w:w="80" w:type="dxa"/>
              <w:start w:w="90" w:type="dxa"/>
              <w:bottom w:w="80" w:type="dxa"/>
              <w:end w:w="90" w:type="dxa"/>
            </w:tcMar>
            <w:vAlign w:val="center"/>
            <w:shd w:fill="EAF1EE"/>
          </w:tcPr>
          <w:p>
            <w:pPr>
              <w:spacing w:after="0" w:before="0" w:line="240" w:lineRule="auto"/>
            </w:pPr>
            <w:r>
              <w:rPr>
                <w:rFonts w:ascii="Aptos" w:hAnsi="Aptos"/>
                <w:color w:val="1E2A2C"/>
                <w:sz w:val="15"/>
              </w:rPr>
              <w:t>$7,500</w:t>
            </w:r>
          </w:p>
        </w:tc>
        <w:tc>
          <w:tcPr>
            <w:tcW w:type="dxa" w:w="1699"/>
            <w:tcMar>
              <w:top w:w="80" w:type="dxa"/>
              <w:start w:w="90" w:type="dxa"/>
              <w:bottom w:w="80" w:type="dxa"/>
              <w:end w:w="90" w:type="dxa"/>
            </w:tcMar>
            <w:vAlign w:val="center"/>
            <w:shd w:fill="EAF1EE"/>
          </w:tcPr>
          <w:p>
            <w:pPr>
              <w:spacing w:after="0" w:before="0" w:line="240" w:lineRule="auto"/>
            </w:pPr>
            <w:r>
              <w:rPr>
                <w:rFonts w:ascii="Aptos" w:hAnsi="Aptos"/>
                <w:color w:val="1E2A2C"/>
                <w:sz w:val="15"/>
              </w:rPr>
              <w:t>$17,000</w:t>
            </w:r>
          </w:p>
        </w:tc>
      </w:tr>
      <w:tr>
        <w:tc>
          <w:tcPr>
            <w:tcW w:type="dxa" w:w="4867"/>
            <w:tcMar>
              <w:top w:w="80" w:type="dxa"/>
              <w:start w:w="90" w:type="dxa"/>
              <w:bottom w:w="80" w:type="dxa"/>
              <w:end w:w="90" w:type="dxa"/>
            </w:tcMar>
            <w:vAlign w:val="center"/>
          </w:tcPr>
          <w:p>
            <w:pPr>
              <w:spacing w:after="0" w:before="0" w:line="240" w:lineRule="auto"/>
            </w:pPr>
            <w:r>
              <w:rPr>
                <w:rFonts w:ascii="Aptos" w:hAnsi="Aptos"/>
                <w:color w:val="1E2A2C"/>
                <w:sz w:val="15"/>
              </w:rPr>
              <w:t>Eligible equipment value before inspection</w:t>
            </w:r>
          </w:p>
        </w:tc>
        <w:tc>
          <w:tcPr>
            <w:tcW w:type="dxa" w:w="1699"/>
            <w:tcMar>
              <w:top w:w="80" w:type="dxa"/>
              <w:start w:w="90" w:type="dxa"/>
              <w:bottom w:w="80" w:type="dxa"/>
              <w:end w:w="90" w:type="dxa"/>
            </w:tcMar>
            <w:vAlign w:val="center"/>
          </w:tcPr>
          <w:p>
            <w:pPr>
              <w:spacing w:after="0" w:before="0" w:line="240" w:lineRule="auto"/>
            </w:pPr>
            <w:r>
              <w:rPr>
                <w:rFonts w:ascii="Aptos" w:hAnsi="Aptos"/>
                <w:color w:val="1E2A2C"/>
                <w:sz w:val="15"/>
              </w:rPr>
              <w:t>$24,000</w:t>
            </w:r>
          </w:p>
        </w:tc>
        <w:tc>
          <w:tcPr>
            <w:tcW w:type="dxa" w:w="1699"/>
            <w:tcMar>
              <w:top w:w="80" w:type="dxa"/>
              <w:start w:w="90" w:type="dxa"/>
              <w:bottom w:w="80" w:type="dxa"/>
              <w:end w:w="90" w:type="dxa"/>
            </w:tcMar>
            <w:vAlign w:val="center"/>
          </w:tcPr>
          <w:p>
            <w:pPr>
              <w:spacing w:after="0" w:before="0" w:line="240" w:lineRule="auto"/>
            </w:pPr>
            <w:r>
              <w:rPr>
                <w:rFonts w:ascii="Aptos" w:hAnsi="Aptos"/>
                <w:color w:val="1E2A2C"/>
                <w:sz w:val="15"/>
              </w:rPr>
              <w:t>$18,500</w:t>
            </w:r>
          </w:p>
        </w:tc>
        <w:tc>
          <w:tcPr>
            <w:tcW w:type="dxa" w:w="1699"/>
            <w:tcMar>
              <w:top w:w="80" w:type="dxa"/>
              <w:start w:w="90" w:type="dxa"/>
              <w:bottom w:w="80" w:type="dxa"/>
              <w:end w:w="90" w:type="dxa"/>
            </w:tcMar>
            <w:vAlign w:val="center"/>
          </w:tcPr>
          <w:p>
            <w:pPr>
              <w:spacing w:after="0" w:before="0" w:line="240" w:lineRule="auto"/>
            </w:pPr>
            <w:r>
              <w:rPr>
                <w:rFonts w:ascii="Aptos" w:hAnsi="Aptos"/>
                <w:color w:val="1E2A2C"/>
                <w:sz w:val="15"/>
              </w:rPr>
              <w:t>$42,500</w:t>
            </w:r>
          </w:p>
        </w:tc>
      </w:tr>
      <w:tr>
        <w:tc>
          <w:tcPr>
            <w:tcW w:type="dxa" w:w="4867"/>
            <w:tcMar>
              <w:top w:w="80" w:type="dxa"/>
              <w:start w:w="90" w:type="dxa"/>
              <w:bottom w:w="80" w:type="dxa"/>
              <w:end w:w="90" w:type="dxa"/>
            </w:tcMar>
            <w:vAlign w:val="center"/>
            <w:shd w:fill="EAF1EE"/>
          </w:tcPr>
          <w:p>
            <w:pPr>
              <w:spacing w:after="0" w:before="0" w:line="240" w:lineRule="auto"/>
            </w:pPr>
            <w:r>
              <w:rPr>
                <w:rFonts w:ascii="Aptos" w:hAnsi="Aptos"/>
                <w:color w:val="1E2A2C"/>
                <w:sz w:val="15"/>
              </w:rPr>
              <w:t>Less: estimated open supplier/brand balance</w:t>
            </w:r>
          </w:p>
        </w:tc>
        <w:tc>
          <w:tcPr>
            <w:tcW w:type="dxa" w:w="1699"/>
            <w:tcMar>
              <w:top w:w="80" w:type="dxa"/>
              <w:start w:w="90" w:type="dxa"/>
              <w:bottom w:w="80" w:type="dxa"/>
              <w:end w:w="90" w:type="dxa"/>
            </w:tcMar>
            <w:vAlign w:val="center"/>
            <w:shd w:fill="EAF1EE"/>
          </w:tcPr>
          <w:p>
            <w:pPr>
              <w:spacing w:after="0" w:before="0" w:line="240" w:lineRule="auto"/>
            </w:pPr>
            <w:r>
              <w:rPr>
                <w:rFonts w:ascii="Aptos" w:hAnsi="Aptos"/>
                <w:color w:val="1E2A2C"/>
                <w:sz w:val="15"/>
              </w:rPr>
              <w:t>($6,500)</w:t>
            </w:r>
          </w:p>
        </w:tc>
        <w:tc>
          <w:tcPr>
            <w:tcW w:type="dxa" w:w="1699"/>
            <w:tcMar>
              <w:top w:w="80" w:type="dxa"/>
              <w:start w:w="90" w:type="dxa"/>
              <w:bottom w:w="80" w:type="dxa"/>
              <w:end w:w="90" w:type="dxa"/>
            </w:tcMar>
            <w:vAlign w:val="center"/>
            <w:shd w:fill="EAF1EE"/>
          </w:tcPr>
          <w:p>
            <w:pPr>
              <w:spacing w:after="0" w:before="0" w:line="240" w:lineRule="auto"/>
            </w:pPr>
            <w:r>
              <w:rPr>
                <w:rFonts w:ascii="Aptos" w:hAnsi="Aptos"/>
                <w:color w:val="1E2A2C"/>
                <w:sz w:val="15"/>
              </w:rPr>
              <w:t>($5,000)</w:t>
            </w:r>
          </w:p>
        </w:tc>
        <w:tc>
          <w:tcPr>
            <w:tcW w:type="dxa" w:w="1699"/>
            <w:tcMar>
              <w:top w:w="80" w:type="dxa"/>
              <w:start w:w="90" w:type="dxa"/>
              <w:bottom w:w="80" w:type="dxa"/>
              <w:end w:w="90" w:type="dxa"/>
            </w:tcMar>
            <w:vAlign w:val="center"/>
            <w:shd w:fill="EAF1EE"/>
          </w:tcPr>
          <w:p>
            <w:pPr>
              <w:spacing w:after="0" w:before="0" w:line="240" w:lineRule="auto"/>
            </w:pPr>
            <w:r>
              <w:rPr>
                <w:rFonts w:ascii="Aptos" w:hAnsi="Aptos"/>
                <w:color w:val="1E2A2C"/>
                <w:sz w:val="15"/>
              </w:rPr>
              <w:t>($11,500)</w:t>
            </w:r>
          </w:p>
        </w:tc>
      </w:tr>
      <w:tr>
        <w:tc>
          <w:tcPr>
            <w:tcW w:type="dxa" w:w="4867"/>
            <w:tcMar>
              <w:top w:w="80" w:type="dxa"/>
              <w:start w:w="90" w:type="dxa"/>
              <w:bottom w:w="80" w:type="dxa"/>
              <w:end w:w="90" w:type="dxa"/>
            </w:tcMar>
            <w:vAlign w:val="center"/>
          </w:tcPr>
          <w:p>
            <w:pPr>
              <w:spacing w:after="0" w:before="0" w:line="240" w:lineRule="auto"/>
            </w:pPr>
            <w:r>
              <w:rPr>
                <w:rFonts w:ascii="Aptos" w:hAnsi="Aptos"/>
                <w:color w:val="1E2A2C"/>
                <w:sz w:val="15"/>
              </w:rPr>
              <w:t>Provisional gross amount</w:t>
            </w:r>
          </w:p>
        </w:tc>
        <w:tc>
          <w:tcPr>
            <w:tcW w:type="dxa" w:w="1699"/>
            <w:tcMar>
              <w:top w:w="80" w:type="dxa"/>
              <w:start w:w="90" w:type="dxa"/>
              <w:bottom w:w="80" w:type="dxa"/>
              <w:end w:w="90" w:type="dxa"/>
            </w:tcMar>
            <w:vAlign w:val="center"/>
          </w:tcPr>
          <w:p>
            <w:pPr>
              <w:spacing w:after="0" w:before="0" w:line="240" w:lineRule="auto"/>
            </w:pPr>
            <w:r>
              <w:rPr>
                <w:rFonts w:ascii="Aptos" w:hAnsi="Aptos"/>
                <w:color w:val="1E2A2C"/>
                <w:sz w:val="15"/>
              </w:rPr>
              <w:t>$113,000</w:t>
            </w:r>
          </w:p>
        </w:tc>
        <w:tc>
          <w:tcPr>
            <w:tcW w:type="dxa" w:w="1699"/>
            <w:tcMar>
              <w:top w:w="80" w:type="dxa"/>
              <w:start w:w="90" w:type="dxa"/>
              <w:bottom w:w="80" w:type="dxa"/>
              <w:end w:w="90" w:type="dxa"/>
            </w:tcMar>
            <w:vAlign w:val="center"/>
          </w:tcPr>
          <w:p>
            <w:pPr>
              <w:spacing w:after="0" w:before="0" w:line="240" w:lineRule="auto"/>
            </w:pPr>
            <w:r>
              <w:rPr>
                <w:rFonts w:ascii="Aptos" w:hAnsi="Aptos"/>
                <w:color w:val="1E2A2C"/>
                <w:sz w:val="15"/>
              </w:rPr>
              <w:t>$95,000</w:t>
            </w:r>
          </w:p>
        </w:tc>
        <w:tc>
          <w:tcPr>
            <w:tcW w:type="dxa" w:w="1699"/>
            <w:tcMar>
              <w:top w:w="80" w:type="dxa"/>
              <w:start w:w="90" w:type="dxa"/>
              <w:bottom w:w="80" w:type="dxa"/>
              <w:end w:w="90" w:type="dxa"/>
            </w:tcMar>
            <w:vAlign w:val="center"/>
          </w:tcPr>
          <w:p>
            <w:pPr>
              <w:spacing w:after="0" w:before="0" w:line="240" w:lineRule="auto"/>
            </w:pPr>
            <w:r>
              <w:rPr>
                <w:rFonts w:ascii="Aptos" w:hAnsi="Aptos"/>
                <w:color w:val="1E2A2C"/>
                <w:sz w:val="15"/>
              </w:rPr>
              <w:t>$208,000</w:t>
            </w:r>
          </w:p>
        </w:tc>
      </w:tr>
      <w:tr>
        <w:tc>
          <w:tcPr>
            <w:tcW w:type="dxa" w:w="4867"/>
            <w:tcMar>
              <w:top w:w="80" w:type="dxa"/>
              <w:start w:w="90" w:type="dxa"/>
              <w:bottom w:w="80" w:type="dxa"/>
              <w:end w:w="90" w:type="dxa"/>
            </w:tcMar>
            <w:vAlign w:val="center"/>
            <w:shd w:fill="EAF1EE"/>
          </w:tcPr>
          <w:p>
            <w:pPr>
              <w:spacing w:after="0" w:before="0" w:line="240" w:lineRule="auto"/>
            </w:pPr>
            <w:r>
              <w:rPr>
                <w:rFonts w:ascii="Aptos" w:hAnsi="Aptos"/>
                <w:color w:val="1E2A2C"/>
                <w:sz w:val="15"/>
              </w:rPr>
              <w:t>Less: equipment holdback (20% of equipment)</w:t>
            </w:r>
          </w:p>
        </w:tc>
        <w:tc>
          <w:tcPr>
            <w:tcW w:type="dxa" w:w="1699"/>
            <w:tcMar>
              <w:top w:w="80" w:type="dxa"/>
              <w:start w:w="90" w:type="dxa"/>
              <w:bottom w:w="80" w:type="dxa"/>
              <w:end w:w="90" w:type="dxa"/>
            </w:tcMar>
            <w:vAlign w:val="center"/>
            <w:shd w:fill="EAF1EE"/>
          </w:tcPr>
          <w:p>
            <w:pPr>
              <w:spacing w:after="0" w:before="0" w:line="240" w:lineRule="auto"/>
            </w:pPr>
            <w:r>
              <w:rPr>
                <w:rFonts w:ascii="Aptos" w:hAnsi="Aptos"/>
                <w:color w:val="1E2A2C"/>
                <w:sz w:val="15"/>
              </w:rPr>
              <w:t>($4,800)</w:t>
            </w:r>
          </w:p>
        </w:tc>
        <w:tc>
          <w:tcPr>
            <w:tcW w:type="dxa" w:w="1699"/>
            <w:tcMar>
              <w:top w:w="80" w:type="dxa"/>
              <w:start w:w="90" w:type="dxa"/>
              <w:bottom w:w="80" w:type="dxa"/>
              <w:end w:w="90" w:type="dxa"/>
            </w:tcMar>
            <w:vAlign w:val="center"/>
            <w:shd w:fill="EAF1EE"/>
          </w:tcPr>
          <w:p>
            <w:pPr>
              <w:spacing w:after="0" w:before="0" w:line="240" w:lineRule="auto"/>
            </w:pPr>
            <w:r>
              <w:rPr>
                <w:rFonts w:ascii="Aptos" w:hAnsi="Aptos"/>
                <w:color w:val="1E2A2C"/>
                <w:sz w:val="15"/>
              </w:rPr>
              <w:t>($3,700)</w:t>
            </w:r>
          </w:p>
        </w:tc>
        <w:tc>
          <w:tcPr>
            <w:tcW w:type="dxa" w:w="1699"/>
            <w:tcMar>
              <w:top w:w="80" w:type="dxa"/>
              <w:start w:w="90" w:type="dxa"/>
              <w:bottom w:w="80" w:type="dxa"/>
              <w:end w:w="90" w:type="dxa"/>
            </w:tcMar>
            <w:vAlign w:val="center"/>
            <w:shd w:fill="EAF1EE"/>
          </w:tcPr>
          <w:p>
            <w:pPr>
              <w:spacing w:after="0" w:before="0" w:line="240" w:lineRule="auto"/>
            </w:pPr>
            <w:r>
              <w:rPr>
                <w:rFonts w:ascii="Aptos" w:hAnsi="Aptos"/>
                <w:color w:val="1E2A2C"/>
                <w:sz w:val="15"/>
              </w:rPr>
              <w:t>($8,500)</w:t>
            </w:r>
          </w:p>
        </w:tc>
      </w:tr>
      <w:tr>
        <w:tc>
          <w:tcPr>
            <w:tcW w:type="dxa" w:w="4867"/>
            <w:tcMar>
              <w:top w:w="80" w:type="dxa"/>
              <w:start w:w="90" w:type="dxa"/>
              <w:bottom w:w="80" w:type="dxa"/>
              <w:end w:w="90" w:type="dxa"/>
            </w:tcMar>
            <w:vAlign w:val="center"/>
            <w:shd w:fill="F5F0E8"/>
          </w:tcPr>
          <w:p>
            <w:pPr>
              <w:spacing w:after="0" w:before="0" w:line="240" w:lineRule="auto"/>
            </w:pPr>
            <w:r>
              <w:rPr>
                <w:rFonts w:ascii="Aptos" w:hAnsi="Aptos"/>
                <w:b/>
                <w:color w:val="204D43"/>
                <w:sz w:val="15"/>
              </w:rPr>
              <w:t>Proposed estimated amount payable</w:t>
            </w:r>
          </w:p>
        </w:tc>
        <w:tc>
          <w:tcPr>
            <w:tcW w:type="dxa" w:w="1699"/>
            <w:tcMar>
              <w:top w:w="80" w:type="dxa"/>
              <w:start w:w="90" w:type="dxa"/>
              <w:bottom w:w="80" w:type="dxa"/>
              <w:end w:w="90" w:type="dxa"/>
            </w:tcMar>
            <w:vAlign w:val="center"/>
            <w:shd w:fill="F5F0E8"/>
          </w:tcPr>
          <w:p>
            <w:pPr>
              <w:spacing w:after="0" w:before="0" w:line="240" w:lineRule="auto"/>
            </w:pPr>
            <w:r>
              <w:rPr>
                <w:rFonts w:ascii="Aptos" w:hAnsi="Aptos"/>
                <w:b/>
                <w:color w:val="204D43"/>
                <w:sz w:val="15"/>
              </w:rPr>
              <w:t>$108,200</w:t>
            </w:r>
          </w:p>
        </w:tc>
        <w:tc>
          <w:tcPr>
            <w:tcW w:type="dxa" w:w="1699"/>
            <w:tcMar>
              <w:top w:w="80" w:type="dxa"/>
              <w:start w:w="90" w:type="dxa"/>
              <w:bottom w:w="80" w:type="dxa"/>
              <w:end w:w="90" w:type="dxa"/>
            </w:tcMar>
            <w:vAlign w:val="center"/>
            <w:shd w:fill="F5F0E8"/>
          </w:tcPr>
          <w:p>
            <w:pPr>
              <w:spacing w:after="0" w:before="0" w:line="240" w:lineRule="auto"/>
            </w:pPr>
            <w:r>
              <w:rPr>
                <w:rFonts w:ascii="Aptos" w:hAnsi="Aptos"/>
                <w:b/>
                <w:color w:val="204D43"/>
                <w:sz w:val="15"/>
              </w:rPr>
              <w:t>$91,300</w:t>
            </w:r>
          </w:p>
        </w:tc>
        <w:tc>
          <w:tcPr>
            <w:tcW w:type="dxa" w:w="1699"/>
            <w:tcMar>
              <w:top w:w="80" w:type="dxa"/>
              <w:start w:w="90" w:type="dxa"/>
              <w:bottom w:w="80" w:type="dxa"/>
              <w:end w:w="90" w:type="dxa"/>
            </w:tcMar>
            <w:vAlign w:val="center"/>
            <w:shd w:fill="F5F0E8"/>
          </w:tcPr>
          <w:p>
            <w:pPr>
              <w:spacing w:after="0" w:before="0" w:line="240" w:lineRule="auto"/>
            </w:pPr>
            <w:r>
              <w:rPr>
                <w:rFonts w:ascii="Aptos" w:hAnsi="Aptos"/>
                <w:b/>
                <w:color w:val="204D43"/>
                <w:sz w:val="15"/>
              </w:rPr>
              <w:t>$199,500</w:t>
            </w:r>
          </w:p>
        </w:tc>
      </w:tr>
    </w:tbl>
    <w:p>
      <w:pPr>
        <w:spacing w:after="0"/>
      </w:pPr>
    </w:p>
    <w:p>
      <w:pPr>
        <w:pStyle w:val="Heading1"/>
        <w:pageBreakBefore/>
        <w:pBdr>
          <w:bottom w:val="single" w:sz="14" w:space="5" w:color="A56B2A"/>
        </w:pBdr>
      </w:pPr>
      <w:r>
        <w:rPr>
          <w:b/>
          <w:i w:val="0"/>
          <w:color w:val="204D43"/>
        </w:rPr>
        <w:t>Valuation notes</w:t>
      </w:r>
    </w:p>
    <w:p>
      <w:pPr>
        <w:pStyle w:val="Body"/>
        <w:spacing w:before="40"/>
      </w:pPr>
      <w:r>
        <w:rPr>
          <w:b/>
          <w:i w:val="0"/>
          <w:color w:val="204D43"/>
        </w:rPr>
        <w:t xml:space="preserve">Basis and holdback. </w:t>
      </w:r>
      <w:r>
        <w:rPr>
          <w:b w:val="0"/>
          <w:i w:val="0"/>
        </w:rPr>
        <w:t>The estimate combines an indicative transferable operating value, counted inventory at book cost, and equipment assessed as eligible, less the stated estimated balances. The equipment holdback reserves 20% of the eligible equipment value pending condition inspection and return/transfer confirmation: $4,800 for Willowmere Station and $3,700 for Kingsway Market, reducing the provisional gross amount by $8,500 to the $199,500 combined estimated amount payable.</w:t>
      </w:r>
    </w:p>
    <w:p>
      <w:pPr>
        <w:pStyle w:val="Body"/>
      </w:pPr>
      <w:r>
        <w:rPr>
          <w:b/>
          <w:i w:val="0"/>
          <w:color w:val="204D43"/>
        </w:rPr>
        <w:t xml:space="preserve">Assumptions and confirmations needed. </w:t>
      </w:r>
      <w:r>
        <w:rPr>
          <w:b w:val="0"/>
          <w:i w:val="0"/>
        </w:rPr>
        <w:t>Assumptions are that both locations remain in normal operating condition through expiry, inventory is saleable, and the listed balances are complete. Before any settlement discussion, Marchmont and Perpetua should confirm the closing inventory count, equipment condition and ownership, returnable or company-owned equipment, outstanding supplier/brand balances, customer commitments, and the relevant agreement records. Equipment excluded because it is leased, loaned, or confirmed for return is not included as eligible equipment in this estimate.</w:t>
      </w:r>
    </w:p>
    <w:p>
      <w:pPr>
        <w:pStyle w:val="Heading1"/>
        <w:pBdr>
          <w:bottom w:val="single" w:sz="14" w:space="5" w:color="A56B2A"/>
        </w:pBdr>
      </w:pPr>
      <w:r>
        <w:rPr>
          <w:b/>
          <w:i w:val="0"/>
          <w:color w:val="A56B2A"/>
        </w:rPr>
        <w:t xml:space="preserve">4. </w:t>
      </w:r>
      <w:r>
        <w:rPr>
          <w:b/>
          <w:i w:val="0"/>
          <w:color w:val="204D43"/>
        </w:rPr>
        <w:t>Transition schedule</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43"/>
            <w:tcMar>
              <w:top w:w="80" w:type="dxa"/>
              <w:start w:w="90" w:type="dxa"/>
              <w:bottom w:w="80" w:type="dxa"/>
              <w:end w:w="90" w:type="dxa"/>
            </w:tcMar>
            <w:vAlign w:val="center"/>
            <w:shd w:fill="204D43"/>
          </w:tcPr>
          <w:p>
            <w:pPr>
              <w:spacing w:after="0" w:before="0" w:line="240" w:lineRule="auto"/>
            </w:pPr>
            <w:r>
              <w:rPr>
                <w:rFonts w:ascii="Aptos" w:hAnsi="Aptos"/>
                <w:b/>
                <w:color w:val="FFFFFF"/>
                <w:sz w:val="15"/>
              </w:rPr>
              <w:t>When</w:t>
            </w:r>
          </w:p>
        </w:tc>
        <w:tc>
          <w:tcPr>
            <w:tcW w:type="dxa" w:w="2419"/>
            <w:tcMar>
              <w:top w:w="80" w:type="dxa"/>
              <w:start w:w="90" w:type="dxa"/>
              <w:bottom w:w="80" w:type="dxa"/>
              <w:end w:w="90" w:type="dxa"/>
            </w:tcMar>
            <w:vAlign w:val="center"/>
            <w:shd w:fill="204D43"/>
          </w:tcPr>
          <w:p>
            <w:pPr>
              <w:spacing w:after="0" w:before="0" w:line="240" w:lineRule="auto"/>
            </w:pPr>
            <w:r>
              <w:rPr>
                <w:rFonts w:ascii="Aptos" w:hAnsi="Aptos"/>
                <w:b/>
                <w:color w:val="FFFFFF"/>
                <w:sz w:val="15"/>
              </w:rPr>
              <w:t>Owner / trigger</w:t>
            </w:r>
          </w:p>
        </w:tc>
        <w:tc>
          <w:tcPr>
            <w:tcW w:type="dxa" w:w="5702"/>
            <w:tcMar>
              <w:top w:w="80" w:type="dxa"/>
              <w:start w:w="90" w:type="dxa"/>
              <w:bottom w:w="80" w:type="dxa"/>
              <w:end w:w="90" w:type="dxa"/>
            </w:tcMar>
            <w:vAlign w:val="center"/>
            <w:shd w:fill="204D43"/>
          </w:tcPr>
          <w:p>
            <w:pPr>
              <w:spacing w:after="0" w:before="0" w:line="240" w:lineRule="auto"/>
            </w:pPr>
            <w:r>
              <w:rPr>
                <w:rFonts w:ascii="Aptos" w:hAnsi="Aptos"/>
                <w:b/>
                <w:color w:val="FFFFFF"/>
                <w:sz w:val="15"/>
              </w:rPr>
              <w:t>Action for both locations</w:t>
            </w:r>
          </w:p>
        </w:tc>
      </w:tr>
      <w:tr>
        <w:tc>
          <w:tcPr>
            <w:tcW w:type="dxa" w:w="1843"/>
            <w:tcMar>
              <w:top w:w="80" w:type="dxa"/>
              <w:start w:w="90" w:type="dxa"/>
              <w:bottom w:w="80" w:type="dxa"/>
              <w:end w:w="90" w:type="dxa"/>
            </w:tcMar>
            <w:vAlign w:val="center"/>
          </w:tcPr>
          <w:p>
            <w:pPr>
              <w:spacing w:after="0" w:before="0" w:line="240" w:lineRule="auto"/>
            </w:pPr>
            <w:r>
              <w:rPr>
                <w:rFonts w:ascii="Aptos" w:hAnsi="Aptos"/>
                <w:b/>
                <w:color w:val="204D43"/>
                <w:sz w:val="15"/>
              </w:rPr>
              <w:t>By 14 Feb 2026</w:t>
            </w:r>
          </w:p>
        </w:tc>
        <w:tc>
          <w:tcPr>
            <w:tcW w:type="dxa" w:w="2419"/>
            <w:tcMar>
              <w:top w:w="80" w:type="dxa"/>
              <w:start w:w="90" w:type="dxa"/>
              <w:bottom w:w="80" w:type="dxa"/>
              <w:end w:w="90" w:type="dxa"/>
            </w:tcMar>
            <w:vAlign w:val="center"/>
          </w:tcPr>
          <w:p>
            <w:pPr>
              <w:spacing w:after="0" w:before="0" w:line="240" w:lineRule="auto"/>
            </w:pPr>
            <w:r>
              <w:rPr>
                <w:rFonts w:ascii="Aptos" w:hAnsi="Aptos"/>
                <w:color w:val="1E2A2C"/>
                <w:sz w:val="15"/>
              </w:rPr>
              <w:t>Perpetua / Bianca Boateng</w:t>
            </w:r>
          </w:p>
        </w:tc>
        <w:tc>
          <w:tcPr>
            <w:tcW w:type="dxa" w:w="5702"/>
            <w:tcMar>
              <w:top w:w="80" w:type="dxa"/>
              <w:start w:w="90" w:type="dxa"/>
              <w:bottom w:w="80" w:type="dxa"/>
              <w:end w:w="90" w:type="dxa"/>
            </w:tcMar>
            <w:vAlign w:val="center"/>
          </w:tcPr>
          <w:p>
            <w:pPr>
              <w:spacing w:after="0" w:before="0" w:line="240" w:lineRule="auto"/>
            </w:pPr>
            <w:r>
              <w:rPr>
                <w:rFonts w:ascii="Aptos" w:hAnsi="Aptos"/>
                <w:color w:val="1E2A2C"/>
                <w:sz w:val="15"/>
              </w:rPr>
              <w:t>Tell Wrenfield Associates whether to explore transfer; identify any prospective Marchmont franchisee. Perpetua may obtain advice or choose orderly wind-down.</w:t>
            </w:r>
          </w:p>
        </w:tc>
      </w:tr>
      <w:tr>
        <w:tc>
          <w:tcPr>
            <w:tcW w:type="dxa" w:w="1843"/>
            <w:tcMar>
              <w:top w:w="80" w:type="dxa"/>
              <w:start w:w="90" w:type="dxa"/>
              <w:bottom w:w="80" w:type="dxa"/>
              <w:end w:w="90" w:type="dxa"/>
            </w:tcMar>
            <w:vAlign w:val="center"/>
            <w:shd w:fill="EAF1EE"/>
          </w:tcPr>
          <w:p>
            <w:pPr>
              <w:spacing w:after="0" w:before="0" w:line="240" w:lineRule="auto"/>
            </w:pPr>
            <w:r>
              <w:rPr>
                <w:rFonts w:ascii="Aptos" w:hAnsi="Aptos"/>
                <w:b/>
                <w:color w:val="204D43"/>
                <w:sz w:val="15"/>
              </w:rPr>
              <w:t>17-27 Mar 2026</w:t>
            </w:r>
          </w:p>
        </w:tc>
        <w:tc>
          <w:tcPr>
            <w:tcW w:type="dxa" w:w="2419"/>
            <w:tcMar>
              <w:top w:w="80" w:type="dxa"/>
              <w:start w:w="90" w:type="dxa"/>
              <w:bottom w:w="80" w:type="dxa"/>
              <w:end w:w="90" w:type="dxa"/>
            </w:tcMar>
            <w:vAlign w:val="center"/>
            <w:shd w:fill="EAF1EE"/>
          </w:tcPr>
          <w:p>
            <w:pPr>
              <w:spacing w:after="0" w:before="0" w:line="240" w:lineRule="auto"/>
            </w:pPr>
            <w:r>
              <w:rPr>
                <w:rFonts w:ascii="Aptos" w:hAnsi="Aptos"/>
                <w:color w:val="1E2A2C"/>
                <w:sz w:val="15"/>
              </w:rPr>
              <w:t>Perpetua + Marchmont operations</w:t>
            </w:r>
          </w:p>
        </w:tc>
        <w:tc>
          <w:tcPr>
            <w:tcW w:type="dxa" w:w="5702"/>
            <w:tcMar>
              <w:top w:w="80" w:type="dxa"/>
              <w:start w:w="90" w:type="dxa"/>
              <w:bottom w:w="80" w:type="dxa"/>
              <w:end w:w="90" w:type="dxa"/>
            </w:tcMar>
            <w:vAlign w:val="center"/>
            <w:shd w:fill="EAF1EE"/>
          </w:tcPr>
          <w:p>
            <w:pPr>
              <w:spacing w:after="0" w:before="0" w:line="240" w:lineRule="auto"/>
            </w:pPr>
            <w:r>
              <w:rPr>
                <w:rFonts w:ascii="Aptos" w:hAnsi="Aptos"/>
                <w:color w:val="1E2A2C"/>
                <w:sz w:val="15"/>
              </w:rPr>
              <w:t>Joint inventory count; equipment inspection and return/transfer list; reconcile business records and data. Agree employee communication timing and a customer-obligation log for prepaid orders, gift instruments, loyalty balances, and open complaints.</w:t>
            </w:r>
          </w:p>
        </w:tc>
      </w:tr>
      <w:tr>
        <w:tc>
          <w:tcPr>
            <w:tcW w:type="dxa" w:w="1843"/>
            <w:tcMar>
              <w:top w:w="80" w:type="dxa"/>
              <w:start w:w="90" w:type="dxa"/>
              <w:bottom w:w="80" w:type="dxa"/>
              <w:end w:w="90" w:type="dxa"/>
            </w:tcMar>
            <w:vAlign w:val="center"/>
          </w:tcPr>
          <w:p>
            <w:pPr>
              <w:spacing w:after="0" w:before="0" w:line="240" w:lineRule="auto"/>
            </w:pPr>
            <w:r>
              <w:rPr>
                <w:rFonts w:ascii="Aptos" w:hAnsi="Aptos"/>
                <w:b/>
                <w:color w:val="204D43"/>
                <w:sz w:val="15"/>
              </w:rPr>
              <w:t>By 30 Mar 2026</w:t>
            </w:r>
          </w:p>
        </w:tc>
        <w:tc>
          <w:tcPr>
            <w:tcW w:type="dxa" w:w="2419"/>
            <w:tcMar>
              <w:top w:w="80" w:type="dxa"/>
              <w:start w:w="90" w:type="dxa"/>
              <w:bottom w:w="80" w:type="dxa"/>
              <w:end w:w="90" w:type="dxa"/>
            </w:tcMar>
            <w:vAlign w:val="center"/>
          </w:tcPr>
          <w:p>
            <w:pPr>
              <w:spacing w:after="0" w:before="0" w:line="240" w:lineRule="auto"/>
            </w:pPr>
            <w:r>
              <w:rPr>
                <w:rFonts w:ascii="Aptos" w:hAnsi="Aptos"/>
                <w:color w:val="1E2A2C"/>
                <w:sz w:val="15"/>
              </w:rPr>
              <w:t>Marchmont operations + Perpetua</w:t>
            </w:r>
          </w:p>
        </w:tc>
        <w:tc>
          <w:tcPr>
            <w:tcW w:type="dxa" w:w="5702"/>
            <w:tcMar>
              <w:top w:w="80" w:type="dxa"/>
              <w:start w:w="90" w:type="dxa"/>
              <w:bottom w:w="80" w:type="dxa"/>
              <w:end w:w="90" w:type="dxa"/>
            </w:tcMar>
            <w:vAlign w:val="center"/>
          </w:tcPr>
          <w:p>
            <w:pPr>
              <w:spacing w:after="0" w:before="0" w:line="240" w:lineRule="auto"/>
            </w:pPr>
            <w:r>
              <w:rPr>
                <w:rFonts w:ascii="Aptos" w:hAnsi="Aptos"/>
                <w:color w:val="1E2A2C"/>
                <w:sz w:val="15"/>
              </w:rPr>
              <w:t>Confirm handover plan: premises condition, keys and access, signage and branded-material removal or transfer, and the named point of contact for outstanding customer obligations.</w:t>
            </w:r>
          </w:p>
        </w:tc>
      </w:tr>
      <w:tr>
        <w:tc>
          <w:tcPr>
            <w:tcW w:type="dxa" w:w="1843"/>
            <w:tcMar>
              <w:top w:w="80" w:type="dxa"/>
              <w:start w:w="90" w:type="dxa"/>
              <w:bottom w:w="80" w:type="dxa"/>
              <w:end w:w="90" w:type="dxa"/>
            </w:tcMar>
            <w:vAlign w:val="center"/>
            <w:shd w:fill="EAF1EE"/>
          </w:tcPr>
          <w:p>
            <w:pPr>
              <w:spacing w:after="0" w:before="0" w:line="240" w:lineRule="auto"/>
            </w:pPr>
            <w:r>
              <w:rPr>
                <w:rFonts w:ascii="Aptos" w:hAnsi="Aptos"/>
                <w:b/>
                <w:color w:val="204D43"/>
                <w:sz w:val="15"/>
              </w:rPr>
              <w:t>31 Mar 2026, 6:00 p.m. local time</w:t>
            </w:r>
          </w:p>
        </w:tc>
        <w:tc>
          <w:tcPr>
            <w:tcW w:type="dxa" w:w="2419"/>
            <w:tcMar>
              <w:top w:w="80" w:type="dxa"/>
              <w:start w:w="90" w:type="dxa"/>
              <w:bottom w:w="80" w:type="dxa"/>
              <w:end w:w="90" w:type="dxa"/>
            </w:tcMar>
            <w:vAlign w:val="center"/>
            <w:shd w:fill="EAF1EE"/>
          </w:tcPr>
          <w:p>
            <w:pPr>
              <w:spacing w:after="0" w:before="0" w:line="240" w:lineRule="auto"/>
            </w:pPr>
            <w:r>
              <w:rPr>
                <w:rFonts w:ascii="Aptos" w:hAnsi="Aptos"/>
                <w:color w:val="1E2A2C"/>
                <w:sz w:val="15"/>
              </w:rPr>
              <w:t>Expiry / Perpetua</w:t>
            </w:r>
          </w:p>
        </w:tc>
        <w:tc>
          <w:tcPr>
            <w:tcW w:type="dxa" w:w="5702"/>
            <w:tcMar>
              <w:top w:w="80" w:type="dxa"/>
              <w:start w:w="90" w:type="dxa"/>
              <w:bottom w:w="80" w:type="dxa"/>
              <w:end w:w="90" w:type="dxa"/>
            </w:tcMar>
            <w:vAlign w:val="center"/>
            <w:shd w:fill="EAF1EE"/>
          </w:tcPr>
          <w:p>
            <w:pPr>
              <w:spacing w:after="0" w:before="0" w:line="240" w:lineRule="auto"/>
            </w:pPr>
            <w:r>
              <w:rPr>
                <w:rFonts w:ascii="Aptos" w:hAnsi="Aptos"/>
                <w:color w:val="1E2A2C"/>
                <w:sz w:val="15"/>
              </w:rPr>
              <w:t>Existing POS access ends. Complete turnover of operational records, keys, access credentials, and agreed equipment. Continue no brand-facing operation beyond the agreement expiry unless a separately completed transfer has taken effect.</w:t>
            </w:r>
          </w:p>
        </w:tc>
      </w:tr>
      <w:tr>
        <w:tc>
          <w:tcPr>
            <w:tcW w:type="dxa" w:w="1843"/>
            <w:tcMar>
              <w:top w:w="80" w:type="dxa"/>
              <w:start w:w="90" w:type="dxa"/>
              <w:bottom w:w="80" w:type="dxa"/>
              <w:end w:w="90" w:type="dxa"/>
            </w:tcMar>
            <w:vAlign w:val="center"/>
          </w:tcPr>
          <w:p>
            <w:pPr>
              <w:spacing w:after="0" w:before="0" w:line="240" w:lineRule="auto"/>
            </w:pPr>
            <w:r>
              <w:rPr>
                <w:rFonts w:ascii="Aptos" w:hAnsi="Aptos"/>
                <w:b/>
                <w:color w:val="204D43"/>
                <w:sz w:val="15"/>
              </w:rPr>
              <w:t>After 31 Mar 2026</w:t>
            </w:r>
          </w:p>
        </w:tc>
        <w:tc>
          <w:tcPr>
            <w:tcW w:type="dxa" w:w="2419"/>
            <w:tcMar>
              <w:top w:w="80" w:type="dxa"/>
              <w:start w:w="90" w:type="dxa"/>
              <w:bottom w:w="80" w:type="dxa"/>
              <w:end w:w="90" w:type="dxa"/>
            </w:tcMar>
            <w:vAlign w:val="center"/>
          </w:tcPr>
          <w:p>
            <w:pPr>
              <w:spacing w:after="0" w:before="0" w:line="240" w:lineRule="auto"/>
            </w:pPr>
            <w:r>
              <w:rPr>
                <w:rFonts w:ascii="Aptos" w:hAnsi="Aptos"/>
                <w:color w:val="1E2A2C"/>
                <w:sz w:val="15"/>
              </w:rPr>
              <w:t>Marchmont operations</w:t>
            </w:r>
          </w:p>
        </w:tc>
        <w:tc>
          <w:tcPr>
            <w:tcW w:type="dxa" w:w="5702"/>
            <w:tcMar>
              <w:top w:w="80" w:type="dxa"/>
              <w:start w:w="90" w:type="dxa"/>
              <w:bottom w:w="80" w:type="dxa"/>
              <w:end w:w="90" w:type="dxa"/>
            </w:tcMar>
            <w:vAlign w:val="center"/>
          </w:tcPr>
          <w:p>
            <w:pPr>
              <w:spacing w:after="0" w:before="0" w:line="240" w:lineRule="auto"/>
            </w:pPr>
            <w:r>
              <w:rPr>
                <w:rFonts w:ascii="Aptos" w:hAnsi="Aptos"/>
                <w:color w:val="1E2A2C"/>
                <w:sz w:val="15"/>
              </w:rPr>
              <w:t>End state: both agreements are not renewed; Perpetua has no POS access or authority to operate as these Marchmont locations. Marchmont will coordinate the confirmed premises/operations handover and route unresolved documented customer obligations for resolution.</w:t>
            </w:r>
          </w:p>
        </w:tc>
      </w:tr>
    </w:tbl>
    <w:p>
      <w:pPr>
        <w:spacing w:after="0"/>
      </w:pPr>
    </w:p>
    <w:p>
      <w:pPr>
        <w:pStyle w:val="Body"/>
        <w:spacing w:before="60"/>
      </w:pPr>
      <w:r>
        <w:rPr>
          <w:b/>
          <w:i w:val="0"/>
          <w:color w:val="204D43"/>
        </w:rPr>
        <w:t xml:space="preserve">Closing. </w:t>
      </w:r>
      <w:r>
        <w:rPr>
          <w:b w:val="0"/>
          <w:i w:val="0"/>
        </w:rPr>
        <w:t>The decision is that the Willowmere Station and Kingsway Market agreements will not renew on 31 March 2026. Until then, the available path is a possible but unguaranteed transfer to another Marchmont franchisee, or an orderly wind-down and handover using this schedule; the valuation remains an estimate pending the listed confirmations.</w:t>
      </w:r>
    </w:p>
    <w:sectPr w:rsidR="00FC693F" w:rsidRPr="0006063C" w:rsidSect="00034616">
      <w:headerReference w:type="default" r:id="rId9"/>
      <w:footerReference w:type="default" r:id="rId10"/>
      <w:pgSz w:w="12240" w:h="15840"/>
      <w:pgMar w:top="691" w:right="893" w:bottom="691" w:left="893"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b w:val="0"/>
        <w:i w:val="0"/>
        <w:color w:val="5B6868"/>
        <w:sz w:val="14"/>
      </w:rPr>
      <w:t>Confidential franchise communication | Final factual review required before issue</w:t>
    </w:r>
    <w:r>
      <w:rPr>
        <w:color w:val="5B6868"/>
        <w:sz w:val="14"/>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204D43"/>
      </w:pBdr>
    </w:pPr>
    <w:r>
      <w:rPr>
        <w:b/>
        <w:i w:val="0"/>
        <w:color w:val="204D43"/>
        <w:sz w:val="20"/>
      </w:rPr>
      <w:t>MARCHMONT</w:t>
    </w:r>
    <w:r>
      <w:rPr>
        <w:b/>
        <w:i w:val="0"/>
        <w:color w:val="A56B2A"/>
        <w:sz w:val="17"/>
      </w:rPr>
      <w:t xml:space="preserve">  |  COFFEE HOUSES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1E2A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204D4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62" w:line="245"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