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E7A"/>
          <w:sz w:val="18"/>
        </w:rPr>
        <w:t>LANTERNWOOD MEDIA | COMMISSIONING SOURCE PACK</w:t>
      </w:r>
    </w:p>
    <w:p>
      <w:pPr>
        <w:pStyle w:val="Title"/>
      </w:pPr>
      <w:r>
        <w:t>Wardenby household-waste contract reorganisation</w:t>
      </w:r>
    </w:p>
    <w:p>
      <w:r>
        <w:rPr>
          <w:i/>
        </w:rPr>
        <w:t>For the resident explainer commissioned by Hedda Rivenburgh. Information cut-off: 14 March 2025.</w:t>
      </w:r>
    </w:p>
    <w:p>
      <w:pPr>
        <w:pStyle w:val="Heading1"/>
      </w:pPr>
      <w:r>
        <w:t>1. Adopted decision record</w:t>
      </w:r>
    </w:p>
    <w:p>
      <w:r>
        <w:t>Provenance: County Cabinet decision record, 10 March 2025 (adopted). The Cabinet approved a variation to the Wardenby County household-waste contract with Wardenby Manufacturing and adopted the reorganised service specification. The decision is settled; operational schedules and some property-level arrangements remain to be published.</w:t>
      </w:r>
    </w:p>
    <w:p>
      <w:r>
        <w:t>Approved effective dates: standard kerbside properties move to the new pattern on 1 June 2025. Rural and difficult-access assisted rounds move on 1 September 2025. Communal flats remain on their existing communal collection pattern while eligibility and infrastructure for a separate food-caddy service are assessed; no start date was adopted for that element.</w:t>
      </w:r>
    </w:p>
    <w:p>
      <w:pPr>
        <w:pStyle w:val="Heading1"/>
      </w:pPr>
      <w:r>
        <w:t>2. Current service baseline (contract year to 31 March 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Measure</w:t>
            </w:r>
          </w:p>
        </w:tc>
        <w:tc>
          <w:tcPr>
            <w:tcW w:type="dxa" w:w="504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Current arrangement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Properties in contract base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86,400 occupied homes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Residual waste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180-litre wheeled bin, collected weekly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Mixed recycling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240-litre bin, collected fortnightly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Food waste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No separate county collection; food placed in residual bin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Garden waste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Optional paid fortnightly service, April-November; separate charge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Presentation rule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Bins out by 6am on collection day; lids closed; no side waste</w:t>
            </w:r>
          </w:p>
        </w:tc>
      </w:tr>
    </w:tbl>
    <w:p>
      <w:r>
        <w:t>The current contract price is £8.64 million a year for residual and mixed-recycling collections for the 86,400-home base. Garden subscriptions are outside that price.</w:t>
      </w:r>
    </w:p>
    <w:p>
      <w:pPr>
        <w:pStyle w:val="Heading1"/>
      </w:pPr>
      <w:r>
        <w:t>3. Approved reorganised service specification</w:t>
      </w:r>
    </w:p>
    <w:p>
      <w:r>
        <w:t>Provenance: adopted specification, 10 March 2025. “Standard kerbside” means houses and converted houses on ordinary vehicle rounds. “Rural/difficult-access” means properties on assisted or remote rounds identified by county officers. Communal flats are a separate cohort.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Property cohort</w:t>
            </w:r>
          </w:p>
        </w:tc>
        <w:tc>
          <w:tcPr>
            <w:tcW w:type="dxa" w:w="336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From</w:t>
            </w:r>
          </w:p>
        </w:tc>
        <w:tc>
          <w:tcPr>
            <w:tcW w:type="dxa" w:w="336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Resident-facing arrangement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78,600 standard kerbside homes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1 Jun 2025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Residual 180L bin fortnightly; mixed recycling 240L bin weekly; separate food caddy weekly; garden waste fortnightly Apr-Nov included in the contract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5,800 rural/difficult-access homes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1 Sep 2025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Residual 180L bin every three weeks; mixed recycling 240L bin every three weeks; separate food caddy weekly where the round is vehicle-accessible; assisted presentation remains available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2,000 communal flats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No adopted date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8"/>
              </w:rPr>
              <w:t>Existing communal residual and recycling pattern continues. Food-caddy eligibility, storage and collection method are pending assessment</w:t>
            </w:r>
          </w:p>
        </w:tc>
      </w:tr>
    </w:tbl>
    <w:p>
      <w:r>
        <w:t>The reorganised contract price is £10.80 million a year for 90,000 properties. It includes separate food collection and the scheduled garden service for eligible cohorts. The household base includes 3,600 additional properties brought into the contract count.</w:t>
      </w:r>
    </w:p>
    <w:p>
      <w:r>
        <w:t>County officers’ like-for-like analysis isolates residual and mixed-recycling service for the same 86,400-home base: £8.64 million in the current year versus an estimated £7.78 million under the new design, or about £100 versus £90 per home. This is an analytical comparison, not a separate contract price, and excludes the newly included food and garden services.</w:t>
      </w:r>
    </w:p>
    <w:p>
      <w:pPr>
        <w:pStyle w:val="Heading1"/>
      </w:pPr>
      <w:r>
        <w:t>4. Attributed statements and projections</w:t>
      </w:r>
    </w:p>
    <w:p>
      <w:r>
        <w:t>Provenance: statements supplied to Lanternwood Media, 12–13 March 2025. These are positions, not independent findings.</w:t>
      </w:r>
    </w:p>
    <w:p>
      <w:r>
        <w:t>Administration group: “This is a £2.16 million investment in a cleaner, simpler service.” The group says weekly recycling, food collection and included garden rounds will reduce residual waste and calls the change “modernisation, not a cut”. The £2.16 million figure is the difference between the two annual contract totals; the wording is the group’s characterisation. A projected 18% reduction in residual tonnage in the first full year appears in the adopted business case; it is a projection, not an observed result.</w:t>
      </w:r>
    </w:p>
    <w:p>
      <w:r>
        <w:t>Opposition group: “Residents are being asked to pay 20% more for less frequent collections.” Its calculation divides £10.80 million by 90,000 properties (£120) and £8.64 million by 86,400 homes (£100). The group says the three-weekly rural round is evidence of a cut. The calculation changes the service bundle and denominator, so it is not a like-for-like measure of the same service.</w:t>
      </w:r>
    </w:p>
    <w:p>
      <w:r>
        <w:t>County officers’ analysis supports a narrower point: on the same 86,400-home base and residual/recycling scope, the estimated core cost is about 10% lower (£90 versus £100 per home). It does not establish that every household will pay less, because the contract is not a household bill and the new service includes additional streams and cohorts.</w:t>
      </w:r>
    </w:p>
    <w:p>
      <w:pPr>
        <w:pStyle w:val="Heading1"/>
      </w:pPr>
      <w:r>
        <w:t>5. Unresolved matters at the cut-off</w:t>
      </w:r>
    </w:p>
    <w:p>
      <w:r>
        <w:t>Provenance: implementation register, updated 14 March 2025. Not yet published or fixed: exact collection-day calendars; bin-lid colours and replacement timetable; the food-caddy liner standard for each property cohort; communal-flat food-service eligibility, storage and method; and the transition process for assisted collections. Residents should not infer these details from the adopted pattern.</w:t>
      </w:r>
    </w:p>
    <w:p>
      <w:pPr>
        <w:pStyle w:val="Heading1"/>
      </w:pPr>
      <w:r>
        <w:t>6. Wardenby County rules in force on 14 March 2025</w:t>
      </w:r>
    </w:p>
    <w:p>
      <w:r>
        <w:t>Residents must present containers at the property boundary by 6am on collection day, with lids closed and no side waste. Food caddies may be lined with newspaper or a county-approved compostable liner; plastic carrier bags are not permitted. Assisted collections continue for residents registered under the county’s assisted-collection process. These rules are current as at the cut-off; future implementation guidance may add practical detail.</w:t>
      </w:r>
    </w:p>
    <w:p>
      <w:pPr>
        <w:pStyle w:val="Heading1"/>
      </w:pPr>
      <w:r>
        <w:t>7. Lanternwood Media house style | resident explainers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Element</w:t>
            </w:r>
          </w:p>
        </w:tc>
        <w:tc>
          <w:tcPr>
            <w:tcW w:type="dxa" w:w="5040"/>
            <w:shd w:fill="D9E6EF"/>
            <w:vAlign w:val="center"/>
          </w:tcPr>
          <w:p>
            <w:r>
              <w:rPr>
                <w:rFonts w:ascii="Arial" w:hAnsi="Arial"/>
                <w:b/>
                <w:sz w:val="18"/>
              </w:rPr>
              <w:t>House style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Headline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Sentence case; name the practical change, not a disputed slogan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Standfirst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One plain-language sentence of 25–35 words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Headings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Short sentence case subheads organised around resident questions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Numbers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Use numerals for measurements, money and ages; use £ and million; percentages as whole numbers unless source uses decimals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Quotes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Use short exact quotations; identify speaker/group in the same sentence; do not stack rival quotes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Attribution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Keep contested claims attributed close to the claim; distinguish adopted fact, estimate, projection and opinion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Uncertainty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Use “pending”, “not yet published” or “projection” where applicable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Source note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End with: “Source note: adopted county decision and service specification; current-service and period-comparison figures; attributed group statements; implementation register; and Wardenby County rules in force at 14 March 2025. Information cut-off: 14 March 2025.”</w:t>
            </w:r>
          </w:p>
        </w:tc>
      </w:tr>
    </w:tbl>
    <w:p>
      <w:r>
        <w:t>Internal use: this pack is the complete offline record for the article. No external research is required or permitted.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7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7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7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