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24"/>
        </w:rPr>
        <w:t>IRONVALE MEDIA — INTERNAL PROCUREMENT FINDINGS MEMORANDUM</w:t>
      </w:r>
    </w:p>
    <w:p>
      <w:pPr>
        <w:spacing w:after="100"/>
        <w:jc w:val="center"/>
      </w:pPr>
      <w:r>
        <w:rPr>
          <w:rFonts w:ascii="Arial" w:hAnsi="Arial"/>
          <w:sz w:val="17"/>
        </w:rPr>
        <w:t>Hydraulic filter head claim | Position as at 30 September 2025 | England and Wales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244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To</w:t>
            </w:r>
          </w:p>
        </w:tc>
        <w:tc>
          <w:tcPr>
            <w:tcW w:type="dxa" w:w="302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From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Subject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Mirela Havlicek; Quality; Logistics; Finance; Legal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Joaquin Cordova, Senior Buyer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PO IV-44718 — HFX-6200-17 / serial HFH-25-0917; customer line-down claim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18"/>
        </w:rPr>
        <w:t>Procurement finding and meeting disposition</w:t>
      </w:r>
    </w:p>
    <w:p>
      <w:pPr>
        <w:spacing w:after="60" w:line="247" w:lineRule="auto"/>
      </w:pPr>
      <w:r>
        <w:rPr>
          <w:rFonts w:ascii="Arial" w:hAnsi="Arial"/>
          <w:b/>
          <w:sz w:val="17"/>
        </w:rPr>
        <w:t xml:space="preserve">Finding. </w:t>
      </w:r>
      <w:r>
        <w:rPr>
          <w:rFonts w:ascii="Arial" w:hAnsi="Arial"/>
          <w:sz w:val="17"/>
        </w:rPr>
        <w:t>On the available record, the most likely condition-compromise window is Peatmoor Trust’s documented repacking or associated pre-handover handling, not established transit temperature exposure. Confidence is moderate: ASN-02 documents an intervention before CARR-01 handoff, while the receipt photographs and log weaken the simple transit account. This is a provisional procurement finding, not proof of a particular damaging act, actor, or mechanism.</w:t>
      </w:r>
    </w:p>
    <w:p>
      <w:pPr>
        <w:spacing w:after="60" w:line="247" w:lineRule="auto"/>
      </w:pPr>
      <w:r>
        <w:rPr>
          <w:rFonts w:ascii="Arial" w:hAnsi="Arial"/>
          <w:b/>
          <w:sz w:val="17"/>
        </w:rPr>
        <w:t xml:space="preserve">Decision requested. </w:t>
      </w:r>
      <w:r>
        <w:rPr>
          <w:rFonts w:ascii="Arial" w:hAnsi="Arial"/>
          <w:sz w:val="17"/>
        </w:rPr>
        <w:t>The customer has presented a £310,000 line-down claim (CN-047). It is neither admitted nor validated, and this memorandum does not allocate it finally. Carry the provisional Peatmoor repack/pre-handover origin finding into tomorrow’s allocation meeting; withdraw the draft’s assertion of proven transit-temperature damage; do not admit or finally allocate £310,000 pending the specified checks.</w:t>
      </w:r>
    </w:p>
    <w:p>
      <w:pPr>
        <w:spacing w:before="100" w:after="40"/>
      </w:pPr>
      <w:r>
        <w:rPr>
          <w:rFonts w:ascii="Arial" w:hAnsi="Arial"/>
          <w:b/>
          <w:color w:val="1F4E79"/>
          <w:sz w:val="18"/>
        </w:rPr>
        <w:t>Traceable record and comparative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52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Sequence / source</w:t>
            </w:r>
          </w:p>
        </w:tc>
        <w:tc>
          <w:tcPr>
            <w:tcW w:type="dxa" w:w="727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What the record supports — and does not support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23 Sep, 08:45 — IR-910 (quoted PT-01)</w:t>
            </w:r>
          </w:p>
        </w:tc>
        <w:tc>
          <w:tcPr>
            <w:tcW w:type="dxa" w:w="72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Peatmoor’s incoming inspection/conformity material predates the next-day repack. It supports Peatmoor’s stated position only; it does not establish post-repack condition at handoff.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24 Sep, 09:14 — ASN-01 / ASN-PT-240925-118; 12:36 — ASN-02 / ASN-PT-240925-118-R1</w:t>
            </w:r>
          </w:p>
        </w:tc>
        <w:tc>
          <w:tcPr>
            <w:tcW w:type="dxa" w:w="72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Both identify PO IV-44718, part HFX-6200-17, serial HFH-25-0917 and shipment PMT-UK-240925-08. ASN-01 says OEM-sealed carton, 47×33×28 cm, 18.4 kg. ASN-02 says “repacked by Peatmoor after outer label damage,” replacement transit carton, 49×35×30 cm, 19.1 kg. This documents a handling opportunity, not damage or a changed part.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24 Sep, 15:10 — CARR-01</w:t>
            </w:r>
          </w:p>
        </w:tc>
        <w:tc>
          <w:tcPr>
            <w:tcW w:type="dxa" w:w="72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Forwarder collection scan for FWD-7749031 at Peatmoor. The scan contains no event narrative.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24 Sep 15:20 to 25 Sep 00:18 — LOG-01</w:t>
            </w:r>
          </w:p>
        </w:tc>
        <w:tc>
          <w:tcPr>
            <w:tcW w:type="dxa" w:w="72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 8 h 58 min absence of readings, not a recorded excursion. 18.2°C before and 17.9°C after are within SPEC-01’s 5°C to 35°C range. LOW POWER / RESTART at 00:16 makes sensor/power interruption plausible, not proven; no temperature, opening, drop or carrier event is recorded for the gap.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25 Sep, 10:42–10:44 — RCV-01/02; RN-928</w:t>
            </w:r>
          </w:p>
        </w:tc>
        <w:tc>
          <w:tcPr>
            <w:tcW w:type="dxa" w:w="72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RCV-01 shows intact exterior carton with no obvious crushing, puncture or wetting. RCV-02/RN-928 show detached/loose port protector, exposed port and visible debris. This weakens an obvious external-impact transit theory but cannot time the internal condition or identify who caused it.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28–29 Sep — TECH-01; PT-01; CN-047</w:t>
            </w:r>
          </w:p>
        </w:tc>
        <w:tc>
          <w:tcPr>
            <w:tcW w:type="dxa" w:w="72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TECH-01 says the failure is compatible with contamination/ingress but cannot locate its introduction or identify an actor. PT-01’s “left conforming” assertion is party evidence, unaccompanied by a post-repack test, seal record or condition photo. CN-047 presents the £310,000 line-down claim without validated quantum or mitigation.</w:t>
            </w:r>
          </w:p>
        </w:tc>
      </w:tr>
    </w:tbl>
    <w:p>
      <w:pPr>
        <w:spacing w:after="60" w:line="247" w:lineRule="auto"/>
      </w:pPr>
      <w:r>
        <w:rPr>
          <w:rFonts w:ascii="Arial" w:hAnsi="Arial"/>
          <w:b/>
          <w:sz w:val="17"/>
        </w:rPr>
        <w:t xml:space="preserve">Assessment. </w:t>
      </w:r>
      <w:r>
        <w:rPr>
          <w:rFonts w:ascii="Arial" w:hAnsi="Arial"/>
          <w:sz w:val="17"/>
        </w:rPr>
        <w:t>Relative support. Repack/pre-handover handling is best supported as the origin window because a documented intervention precedes handoff and post-repack condition is unverified. Transit mishandling remains possible but is weaker on this record: there is no measured temperature breach or recorded carrier event, and externally intact packaging is inconsistent with a simple external-impact account. A manufacturing defect is not established: the preliminary technical note is compatible with ingress and cannot trace timing or origin.</w:t>
      </w:r>
    </w:p>
    <w:p>
      <w:pPr>
        <w:spacing w:after="60" w:line="247" w:lineRule="auto"/>
      </w:pPr>
      <w:r>
        <w:rPr>
          <w:rFonts w:ascii="Arial" w:hAnsi="Arial"/>
          <w:b/>
          <w:sz w:val="17"/>
        </w:rPr>
        <w:t xml:space="preserve">Limits. </w:t>
      </w:r>
      <w:r>
        <w:rPr>
          <w:rFonts w:ascii="Arial" w:hAnsi="Arial"/>
          <w:sz w:val="17"/>
        </w:rPr>
        <w:t>The principal non-connections remain material: no measured temperature breach; no direct evidence links the logger gap to damage; and no direct evidence links the repack to protector detachment or contamination. Those limits are why the finding remains moderate-confidence and provisional.</w:t>
      </w:r>
    </w:p>
    <w:p>
      <w:pPr>
        <w:spacing w:before="100" w:after="40"/>
      </w:pPr>
      <w:r>
        <w:rPr>
          <w:rFonts w:ascii="Arial" w:hAnsi="Arial"/>
          <w:b/>
          <w:color w:val="1F4E79"/>
          <w:sz w:val="18"/>
        </w:rPr>
        <w:t>Commercial boundaries — England and Wales</w:t>
      </w:r>
    </w:p>
    <w:p>
      <w:pPr>
        <w:spacing w:after="60" w:line="247" w:lineRule="auto"/>
      </w:pPr>
      <w:r>
        <w:rPr>
          <w:rFonts w:ascii="Arial" w:hAnsi="Arial"/>
          <w:b/>
          <w:sz w:val="17"/>
        </w:rPr>
        <w:t xml:space="preserve">Terms. </w:t>
      </w:r>
      <w:r>
        <w:rPr>
          <w:rFonts w:ascii="Arial" w:hAnsi="Arial"/>
          <w:sz w:val="17"/>
        </w:rPr>
        <w:t>TERMS-01 clause 1.3 selects England and Wales. Clause 7.2 states DAP Ironvale Distribution Centre, Coventry (Incoterms® 2020), with risk passing on physical delivery at the named place. That delivery/risk provision may matter to commercial allocation; it does not prove when the condition arose or who legally caused it. Factual origin, contractual risk transfer, legal liability, and insurer coverage are separate questions.</w:t>
      </w:r>
    </w:p>
    <w:p>
      <w:pPr>
        <w:spacing w:after="60" w:line="247" w:lineRule="auto"/>
      </w:pPr>
      <w:r>
        <w:rPr>
          <w:rFonts w:ascii="Arial" w:hAnsi="Arial"/>
          <w:b/>
          <w:sz w:val="17"/>
        </w:rPr>
        <w:t xml:space="preserve">Claim position. </w:t>
      </w:r>
      <w:r>
        <w:rPr>
          <w:rFonts w:ascii="Arial" w:hAnsi="Arial"/>
          <w:sz w:val="17"/>
        </w:rPr>
        <w:t>Under TERMS-01 clauses 12.1 and 12.3, any downstream line-down recovery requires Legal review of contractual scope, causation, remoteness/foreseeability, mitigation, exclusions and any applicable cap; coverage is for the relevant insurer. Finance must validate CN-047’s quantum and mitigation evidence. Neither the £310,000 amount nor any liability is admitted by this procurement position.</w:t>
      </w:r>
    </w:p>
    <w:p>
      <w:pPr>
        <w:spacing w:before="100" w:after="40"/>
      </w:pPr>
      <w:r>
        <w:rPr>
          <w:rFonts w:ascii="Arial" w:hAnsi="Arial"/>
          <w:b/>
          <w:color w:val="1F4E79"/>
          <w:sz w:val="18"/>
        </w:rPr>
        <w:t>Checks required before final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52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Owner / deadline</w:t>
            </w:r>
          </w:p>
        </w:tc>
        <w:tc>
          <w:tcPr>
            <w:tcW w:type="dxa" w:w="727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Specific check and disposition if unavailable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Procurement — issue 30 Sep; response by 2 Oct (2 business days)</w:t>
            </w:r>
          </w:p>
        </w:tc>
        <w:tc>
          <w:tcPr>
            <w:tcW w:type="dxa" w:w="72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Request Peatmoor’s post-repack condition photos, packing checklist, seal/closure record, repack operator record and any post-repack test. If unavailable, record the request/response in the claim file, retain the pre-handover limitation, and escalate residual supplier-allocation choice to Legal and Mirela.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Logistics / claims — request 30 Sep; response by 2 Oct</w:t>
            </w:r>
          </w:p>
        </w:tc>
        <w:tc>
          <w:tcPr>
            <w:tcW w:type="dxa" w:w="72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Request forwarder’s raw logger diagnostic/export, device power/restart history and custody/event records for FWD-7749031. If unavailable, record the gap as unresolved—not an excursion—and take no carrier allocation inference; escalate carrier-reservation decision to Legal/claims lead.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Quality — report by 3 Oct</w:t>
            </w:r>
          </w:p>
        </w:tc>
        <w:tc>
          <w:tcPr>
            <w:tcW w:type="dxa" w:w="72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Confirm whether inspection can establish a technical defect, contamination/ingress indicators, or any reliable timing limitation. If examination cannot be completed, log the reason and retain TECH-01’s limitation.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Finance and Legal — 3 Oct review</w:t>
            </w:r>
          </w:p>
        </w:tc>
        <w:tc>
          <w:tcPr>
            <w:tcW w:type="dxa" w:w="72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Finance obtains CN-047 substantiation and mitigation records; Legal reviews TERMS-01, enforceability, recoverability and insurer/claim-notice posture. If evidence is unavailable, Finance records quantum unvalidated and Legal/Mirela decide documented reserve/escalation; no amount is inferred.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18"/>
        </w:rPr>
        <w:t>Revision note</w:t>
      </w:r>
    </w:p>
    <w:p>
      <w:pPr>
        <w:spacing w:after="60" w:line="247" w:lineRule="auto"/>
      </w:pPr>
      <w:r>
        <w:rPr>
          <w:rFonts w:ascii="Arial" w:hAnsi="Arial"/>
          <w:b/>
          <w:sz w:val="17"/>
        </w:rPr>
        <w:t xml:space="preserve">REV-02. </w:t>
      </w:r>
      <w:r>
        <w:rPr>
          <w:rFonts w:ascii="Arial" w:hAnsi="Arial"/>
          <w:sz w:val="17"/>
        </w:rPr>
        <w:t>Replaces DRAFT-01’s unsupported conclusion that a temperature excursion in carriage caused the failure and its forwarder-allocation recommendation. Incorporates LOG-01’s 8 h 58 min missing-data interval and restart diagnostic; adds ASN-02 repack evidence, photo/technical limitations, traceable citations, ownership and an unavailable-record escalation path; and separates provisional physical origin from risk, liability, coverage and quantum.</w:t>
      </w:r>
    </w:p>
    <w:p>
      <w:pPr>
        <w:spacing w:before="100" w:after="0" w:line="245" w:lineRule="auto"/>
      </w:pPr>
      <w:r>
        <w:rPr>
          <w:rFonts w:ascii="Arial" w:hAnsi="Arial"/>
          <w:b/>
          <w:color w:val="1F4E79"/>
          <w:sz w:val="18"/>
        </w:rPr>
        <w:t xml:space="preserve">DECISION TO CARRY INTO THE ALLOCATION MEETING: </w:t>
      </w:r>
      <w:r>
        <w:rPr>
          <w:rFonts w:ascii="Arial" w:hAnsi="Arial"/>
          <w:b/>
          <w:sz w:val="18"/>
        </w:rPr>
        <w:t>retain the moderate-confidence, provisional Peatmoor repack/pre-handover origin finding; withdraw proven-transit-temperature causation; and do not finally allocate or admit the customer’s £310,000 line-down claim unless and until the named checks are recorded and reviewed.</w:t>
      </w:r>
    </w:p>
    <w:sectPr w:rsidR="00FC693F" w:rsidRPr="0006063C" w:rsidSect="00034616">
      <w:pgSz w:w="12240" w:h="15840"/>
      <w:pgMar w:top="691" w:right="835" w:bottom="66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