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Aptos" w:hAnsi="Aptos"/>
          <w:b/>
          <w:color w:val="5B6B7A"/>
          <w:sz w:val="16"/>
        </w:rPr>
        <w:t>WORKING DRAFT  |  29 July 2025</w:t>
      </w:r>
    </w:p>
    <w:p>
      <w:pPr>
        <w:spacing w:before="0" w:after="80"/>
      </w:pPr>
      <w:r>
        <w:rPr>
          <w:rFonts w:ascii="Aptos Display" w:hAnsi="Aptos Display"/>
          <w:b/>
          <w:color w:val="17365D"/>
          <w:sz w:val="34"/>
        </w:rPr>
        <w:t>Renewal decision brief</w:t>
      </w:r>
    </w:p>
    <w:p>
      <w:pPr>
        <w:spacing w:after="120" w:line="240" w:lineRule="auto"/>
      </w:pPr>
      <w:r>
        <w:rPr>
          <w:rFonts w:ascii="Aptos" w:hAnsi="Aptos"/>
          <w:b w:val="0"/>
          <w:color w:val="44546A"/>
          <w:sz w:val="17"/>
        </w:rPr>
        <w:t>Foxglove contract renewal review for Gallowspring Associates. Prepared for Damaris Hartnett.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3528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17365D"/>
                <w:sz w:val="48"/>
              </w:rPr>
              <w:t>18.57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incidents per 100,000 hours</w:t>
            </w:r>
          </w:p>
        </w:tc>
        <w:tc>
          <w:tcPr>
            <w:tcW w:type="dxa" w:w="6552"/>
            <w:shd w:fill="F3F6F8"/>
            <w:vAlign w:val="center"/>
          </w:tcPr>
          <w:p>
            <w:pPr>
              <w:spacing w:after="0" w:before="0"/>
            </w:pPr>
            <w:commentRangeStart w:id="0"/>
            <w:r>
              <w:rPr>
                <w:rFonts w:ascii="Aptos" w:hAnsi="Aptos"/>
                <w:b/>
                <w:color w:val="17365D"/>
                <w:sz w:val="20"/>
              </w:rPr>
              <w:t>Revised incident rate - challenged</w:t>
            </w:r>
            <w:commentRangeEnd w:id="0"/>
            <w:r>
              <w:rPr>
                <w:rStyle w:val="CommentReference"/>
              </w:rPr>
              <w:commentReference w:id="0"/>
            </w:r>
            <w:r>
              <w:rPr>
                <w:rFonts w:ascii="Aptos" w:hAnsi="Aptos"/>
                <w:b w:val="0"/>
                <w:color w:val="1F1F1F"/>
                <w:sz w:val="17"/>
              </w:rPr>
              <w:t>Period end: 30 June 2025</w:t>
              <w:br/>
              <w:t>Draft basis: latest incidents / earlier exposure</w:t>
              <w:br/>
              <w:t>Status: revised working figure</w:t>
            </w:r>
          </w:p>
        </w:tc>
      </w:tr>
    </w:tbl>
    <w:p>
      <w:pPr>
        <w:spacing w:after="40" w:line="240" w:lineRule="auto"/>
      </w:pPr>
      <w:r>
        <w:rPr>
          <w:rFonts w:ascii="Aptos" w:hAnsi="Aptos"/>
          <w:b w:val="0"/>
          <w:color w:val="1F1F1F"/>
          <w:sz w:val="17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EAF3F8"/>
            <w:tcBorders>
              <w:top w:val="single" w:sz="6" w:color="9AA7B0"/>
              <w:left w:val="single" w:sz="6" w:color="9AA7B0"/>
              <w:bottom w:val="single" w:sz="6" w:color="9AA7B0"/>
              <w:right w:val="single" w:sz="6" w:color="9AA7B0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9"/>
              </w:rPr>
              <w:t>Draft recommendation</w:t>
            </w:r>
          </w:p>
          <w:p>
            <w:pPr>
              <w:spacing w:after="0"/>
            </w:pPr>
            <w:commentRangeStart w:id="1"/>
            <w:r>
              <w:rPr>
                <w:rFonts w:ascii="Aptos" w:hAnsi="Aptos"/>
                <w:sz w:val="17"/>
              </w:rPr>
              <w:t>Use the revised rate to show a material deterioration and proceed on that basis.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</w:tbl>
    <w:p>
      <w:pPr>
        <w:spacing w:after="40" w:line="240" w:lineRule="auto"/>
      </w:pPr>
      <w:r>
        <w:rPr>
          <w:rFonts w:ascii="Aptos" w:hAnsi="Aptos"/>
          <w:b w:val="0"/>
          <w:color w:val="1F1F1F"/>
          <w:sz w:val="17"/>
        </w:rPr>
      </w:r>
    </w:p>
    <w:p>
      <w:pPr>
        <w:spacing w:after="40" w:line="240" w:lineRule="auto"/>
      </w:pPr>
      <w:r>
        <w:rPr>
          <w:rFonts w:ascii="Aptos" w:hAnsi="Aptos"/>
          <w:b/>
          <w:color w:val="17365D"/>
          <w:sz w:val="20"/>
        </w:rPr>
        <w:t>Draft review notes</w:t>
      </w:r>
    </w:p>
    <w:p>
      <w:pPr>
        <w:spacing w:after="40" w:line="240" w:lineRule="auto"/>
        <w:ind w:left="198"/>
      </w:pPr>
      <w:r>
        <w:rPr>
          <w:rFonts w:ascii="Aptos" w:hAnsi="Aptos"/>
          <w:b w:val="0"/>
          <w:color w:val="1F1F1F"/>
          <w:sz w:val="17"/>
        </w:rPr>
        <w:t>The draft compares the later incident count with the earlier service-hour total.</w:t>
      </w:r>
    </w:p>
    <w:p>
      <w:pPr>
        <w:spacing w:after="40" w:line="240" w:lineRule="auto"/>
        <w:ind w:left="198"/>
      </w:pPr>
      <w:r>
        <w:rPr>
          <w:rFonts w:ascii="Aptos" w:hAnsi="Aptos"/>
          <w:b w:val="0"/>
          <w:color w:val="1F1F1F"/>
          <w:sz w:val="17"/>
        </w:rPr>
        <w:t>The chart and supporting narrative have not yet been reconciled to the authorisation record.</w:t>
      </w:r>
    </w:p>
    <w:p>
      <w:pPr>
        <w:spacing w:after="40" w:line="240" w:lineRule="auto"/>
        <w:ind w:left="198"/>
      </w:pPr>
      <w:r>
        <w:rPr>
          <w:rFonts w:ascii="Aptos" w:hAnsi="Aptos"/>
          <w:b w:val="0"/>
          <w:color w:val="1F1F1F"/>
          <w:sz w:val="17"/>
        </w:rPr>
        <w:t>A corrected pack is required for the Friday renewal decision.</w:t>
      </w:r>
    </w:p>
    <w:p>
      <w:r>
        <w:br w:type="page"/>
      </w:r>
    </w:p>
    <w:p>
      <w:pPr>
        <w:spacing w:after="20" w:before="0"/>
      </w:pPr>
      <w:r>
        <w:rPr>
          <w:rFonts w:ascii="Aptos" w:hAnsi="Aptos"/>
          <w:b/>
          <w:color w:val="5B6B7A"/>
          <w:sz w:val="16"/>
        </w:rPr>
        <w:t>WORKING DRAFT  |  analysis pending review</w:t>
      </w:r>
    </w:p>
    <w:p>
      <w:pPr>
        <w:spacing w:before="0" w:after="80"/>
      </w:pPr>
      <w:r>
        <w:rPr>
          <w:rFonts w:ascii="Aptos Display" w:hAnsi="Aptos Display"/>
          <w:b/>
          <w:color w:val="17365D"/>
          <w:sz w:val="34"/>
        </w:rPr>
        <w:t>Aligned incident-rate analysis</w:t>
      </w:r>
    </w:p>
    <w:p>
      <w:pPr>
        <w:spacing w:after="100" w:line="240" w:lineRule="auto"/>
      </w:pPr>
      <w:r>
        <w:rPr>
          <w:rFonts w:ascii="Aptos" w:hAnsi="Aptos"/>
          <w:b w:val="0"/>
          <w:color w:val="1F1F1F"/>
          <w:sz w:val="17"/>
        </w:rPr>
        <w:t>The revised view suggests that England and Wales has deteriorated sharply. The comparison below is retained pending final checking.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2232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Jurisdiction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Incidents</w:t>
              <w:br/>
              <w:t>10 Jul 2025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Hours</w:t>
              <w:br/>
              <w:t>03 Jul 2025</w:t>
            </w:r>
          </w:p>
        </w:tc>
        <w:tc>
          <w:tcPr>
            <w:tcW w:type="dxa" w:w="3024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Draft rate</w:t>
              <w:br/>
              <w:t>per 100,000 hours</w:t>
            </w:r>
          </w:p>
        </w:tc>
      </w:tr>
      <w:tr>
        <w:tc>
          <w:tcPr>
            <w:tcW w:type="dxa" w:w="2232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6"/>
              </w:rPr>
              <w:t>England and Wales</w:t>
            </w:r>
          </w:p>
        </w:tc>
        <w:tc>
          <w:tcPr>
            <w:tcW w:type="dxa" w:w="2376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6"/>
              </w:rPr>
              <w:t>11</w:t>
            </w:r>
          </w:p>
        </w:tc>
        <w:tc>
          <w:tcPr>
            <w:tcW w:type="dxa" w:w="2376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6"/>
              </w:rPr>
              <w:t>48,000</w:t>
            </w:r>
          </w:p>
        </w:tc>
        <w:tc>
          <w:tcPr>
            <w:tcW w:type="dxa" w:w="3024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6"/>
              </w:rPr>
              <w:t>22.92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6"/>
              </w:rPr>
              <w:t>Scotland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6"/>
              </w:rPr>
              <w:t>22,000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6"/>
              </w:rPr>
              <w:t>9.09</w:t>
            </w:r>
          </w:p>
        </w:tc>
      </w:tr>
      <w:tr>
        <w:tc>
          <w:tcPr>
            <w:tcW w:type="dxa" w:w="2232"/>
            <w:shd w:fill="F3F6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1F1F"/>
                <w:sz w:val="16"/>
              </w:rPr>
              <w:t>Overall</w:t>
            </w:r>
          </w:p>
        </w:tc>
        <w:tc>
          <w:tcPr>
            <w:tcW w:type="dxa" w:w="2376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6"/>
              </w:rPr>
              <w:t>13</w:t>
            </w:r>
          </w:p>
        </w:tc>
        <w:tc>
          <w:tcPr>
            <w:tcW w:type="dxa" w:w="2376"/>
            <w:shd w:fill="F3F6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1F1F"/>
                <w:sz w:val="16"/>
              </w:rPr>
              <w:t>70,000</w:t>
            </w:r>
          </w:p>
        </w:tc>
        <w:tc>
          <w:tcPr>
            <w:tcW w:type="dxa" w:w="3024"/>
            <w:shd w:fill="F3F6F8"/>
            <w:vAlign w:val="center"/>
          </w:tcPr>
          <w:p>
            <w:pPr>
              <w:spacing w:after="0" w:before="0"/>
              <w:jc w:val="center"/>
            </w:pPr>
            <w:commentRangeStart w:id="2"/>
            <w:r>
              <w:rPr>
                <w:rFonts w:ascii="Aptos" w:hAnsi="Aptos"/>
                <w:b w:val="0"/>
                <w:color w:val="1F1F1F"/>
                <w:sz w:val="16"/>
              </w:rPr>
              <w:t>18.57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>
      <w:pPr>
        <w:spacing w:after="40" w:line="240" w:lineRule="auto"/>
      </w:pPr>
      <w:r>
        <w:rPr>
          <w:rFonts w:ascii="Aptos" w:hAnsi="Aptos"/>
          <w:b w:val="0"/>
          <w:color w:val="1F1F1F"/>
          <w:sz w:val="17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raft_rate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</w:pPr>
      <w:commentRangeStart w:id="3"/>
      <w:r>
        <w:rPr>
          <w:rFonts w:ascii="Aptos" w:hAnsi="Aptos"/>
          <w:b w:val="0"/>
          <w:color w:val="5B6B7A"/>
          <w:sz w:val="15"/>
        </w:rPr>
        <w:t>Draft chart: mixed dated values. Unit: incidents per 100,000 exposure hours.</w:t>
      </w:r>
      <w:commentRangeEnd w:id="3"/>
      <w:r>
        <w:rPr>
          <w:rStyle w:val="CommentReference"/>
        </w:rPr>
        <w:commentReference w:id="3"/>
      </w:r>
    </w:p>
    <w:p>
      <w:pPr>
        <w:spacing w:after="40" w:line="240" w:lineRule="auto"/>
      </w:pPr>
      <w:r>
        <w:rPr>
          <w:rFonts w:ascii="Aptos" w:hAnsi="Aptos"/>
          <w:b/>
          <w:color w:val="17365D"/>
          <w:sz w:val="19"/>
        </w:rPr>
        <w:t>Outstanding point</w:t>
      </w:r>
    </w:p>
    <w:p>
      <w:pPr>
        <w:spacing w:after="0" w:line="240" w:lineRule="auto"/>
      </w:pPr>
      <w:r>
        <w:rPr>
          <w:rFonts w:ascii="Aptos" w:hAnsi="Aptos"/>
          <w:b w:val="0"/>
          <w:color w:val="1F1F1F"/>
          <w:sz w:val="17"/>
        </w:rPr>
        <w:t>Confirm whether the compatible overall movement meets the contractual materiality threshold before characterising the change for counsel.</w:t>
      </w:r>
    </w:p>
    <w:p>
      <w:r>
        <w:br w:type="page"/>
      </w:r>
    </w:p>
    <w:p>
      <w:pPr>
        <w:spacing w:after="20" w:before="0"/>
      </w:pPr>
      <w:r>
        <w:rPr>
          <w:rFonts w:ascii="Aptos" w:hAnsi="Aptos"/>
          <w:b/>
          <w:color w:val="5B6B7A"/>
          <w:sz w:val="16"/>
        </w:rPr>
        <w:t>WORKING DRAFT  |  bridge pending review</w:t>
      </w:r>
    </w:p>
    <w:p>
      <w:pPr>
        <w:spacing w:before="0" w:after="80"/>
      </w:pPr>
      <w:r>
        <w:rPr>
          <w:rFonts w:ascii="Aptos Display" w:hAnsi="Aptos Display"/>
          <w:b/>
          <w:color w:val="17365D"/>
          <w:sz w:val="34"/>
        </w:rPr>
        <w:t>Authorized change bridge</w:t>
      </w:r>
    </w:p>
    <w:p>
      <w:pPr>
        <w:spacing w:after="100" w:line="240" w:lineRule="auto"/>
      </w:pPr>
      <w:commentRangeStart w:id="4"/>
      <w:r>
        <w:rPr>
          <w:rFonts w:ascii="Aptos" w:hAnsi="Aptos"/>
          <w:b w:val="0"/>
          <w:color w:val="1F1F1F"/>
          <w:sz w:val="17"/>
        </w:rPr>
        <w:t>The revised total contains several authorised adjustments. Detail is not yet included in this draft.</w:t>
      </w:r>
      <w:commentRangeEnd w:id="4"/>
      <w:r>
        <w:rPr>
          <w:rStyle w:val="CommentReference"/>
        </w:rPr>
        <w:commentReference w:id="4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376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Change</w:t>
            </w:r>
          </w:p>
        </w:tc>
        <w:tc>
          <w:tcPr>
            <w:tcW w:type="dxa" w:w="2232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Count effect</w:t>
            </w:r>
          </w:p>
        </w:tc>
        <w:tc>
          <w:tcPr>
            <w:tcW w:type="dxa" w:w="1728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Hours effect</w:t>
            </w:r>
          </w:p>
        </w:tc>
        <w:tc>
          <w:tcPr>
            <w:tcW w:type="dxa" w:w="3671"/>
            <w:shd w:fill="17365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Draft note</w:t>
            </w:r>
          </w:p>
        </w:tc>
      </w:tr>
      <w:tr>
        <w:tc>
          <w:tcPr>
            <w:tcW w:type="dxa" w:w="2376"/>
            <w:shd w:fill="F3F6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Addition</w:t>
            </w:r>
          </w:p>
        </w:tc>
        <w:tc>
          <w:tcPr>
            <w:tcW w:type="dxa" w:w="2232"/>
            <w:shd w:fill="F3F6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</w:r>
          </w:p>
        </w:tc>
        <w:tc>
          <w:tcPr>
            <w:tcW w:type="dxa" w:w="1728"/>
            <w:shd w:fill="F3F6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</w:r>
          </w:p>
        </w:tc>
        <w:tc>
          <w:tcPr>
            <w:tcW w:type="dxa" w:w="3671"/>
            <w:shd w:fill="F3F6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7F7F7F"/>
                <w:sz w:val="16"/>
              </w:rPr>
              <w:t>Pending confirmation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Withdrawal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</w:r>
          </w:p>
        </w:tc>
        <w:tc>
          <w:tcPr>
            <w:tcW w:type="dxa" w:w="367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7F7F7F"/>
                <w:sz w:val="16"/>
              </w:rPr>
              <w:t>Pending confirmation</w:t>
            </w:r>
          </w:p>
        </w:tc>
      </w:tr>
      <w:tr>
        <w:tc>
          <w:tcPr>
            <w:tcW w:type="dxa" w:w="2376"/>
            <w:shd w:fill="F3F6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Reclassification</w:t>
            </w:r>
          </w:p>
        </w:tc>
        <w:tc>
          <w:tcPr>
            <w:tcW w:type="dxa" w:w="2232"/>
            <w:shd w:fill="F3F6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</w:r>
          </w:p>
        </w:tc>
        <w:tc>
          <w:tcPr>
            <w:tcW w:type="dxa" w:w="1728"/>
            <w:shd w:fill="F3F6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</w:r>
          </w:p>
        </w:tc>
        <w:tc>
          <w:tcPr>
            <w:tcW w:type="dxa" w:w="3671"/>
            <w:shd w:fill="F3F6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7F7F7F"/>
                <w:sz w:val="16"/>
              </w:rPr>
              <w:t>Pending confirmation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Exposure correction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F1F1F"/>
                <w:sz w:val="16"/>
              </w:rPr>
            </w:r>
          </w:p>
        </w:tc>
        <w:tc>
          <w:tcPr>
            <w:tcW w:type="dxa" w:w="367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7F7F7F"/>
                <w:sz w:val="16"/>
              </w:rPr>
              <w:t>Pending confirmation</w:t>
            </w:r>
          </w:p>
        </w:tc>
      </w:tr>
    </w:tbl>
    <w:p>
      <w:pPr>
        <w:spacing w:after="80" w:line="240" w:lineRule="auto"/>
      </w:pPr>
      <w:r>
        <w:rPr>
          <w:rFonts w:ascii="Aptos" w:hAnsi="Aptos"/>
          <w:b w:val="0"/>
          <w:color w:val="1F1F1F"/>
          <w:sz w:val="17"/>
        </w:rPr>
      </w:r>
    </w:p>
    <w:p>
      <w:pPr>
        <w:spacing w:after="40" w:line="240" w:lineRule="auto"/>
      </w:pPr>
      <w:r>
        <w:rPr>
          <w:rFonts w:ascii="Aptos" w:hAnsi="Aptos"/>
          <w:b/>
          <w:color w:val="17365D"/>
          <w:sz w:val="20"/>
        </w:rPr>
        <w:t>Reconciliation frame</w:t>
      </w:r>
    </w:p>
    <w:p>
      <w:pPr>
        <w:spacing w:after="60" w:line="240" w:lineRule="auto"/>
      </w:pPr>
      <w:r>
        <w:rPr>
          <w:rFonts w:ascii="Aptos" w:hAnsi="Aptos"/>
          <w:b w:val="0"/>
          <w:color w:val="1F1F1F"/>
          <w:sz w:val="17"/>
        </w:rPr>
        <w:t>Opening compatible baseline: [to be reconciled]</w:t>
      </w:r>
    </w:p>
    <w:p>
      <w:pPr>
        <w:spacing w:after="60" w:line="240" w:lineRule="auto"/>
      </w:pPr>
      <w:r>
        <w:rPr>
          <w:rFonts w:ascii="Aptos" w:hAnsi="Aptos"/>
          <w:b w:val="0"/>
          <w:color w:val="1F1F1F"/>
          <w:sz w:val="17"/>
        </w:rPr>
        <w:t>Approved count effects: [to be reconciled]</w:t>
      </w:r>
    </w:p>
    <w:p>
      <w:pPr>
        <w:spacing w:after="60" w:line="240" w:lineRule="auto"/>
      </w:pPr>
      <w:r>
        <w:rPr>
          <w:rFonts w:ascii="Aptos" w:hAnsi="Aptos"/>
          <w:b w:val="0"/>
          <w:color w:val="1F1F1F"/>
          <w:sz w:val="17"/>
        </w:rPr>
        <w:t>Approved exposure effects: [to be reconciled]</w:t>
      </w:r>
    </w:p>
    <w:p>
      <w:pPr>
        <w:spacing w:after="60" w:line="240" w:lineRule="auto"/>
      </w:pPr>
      <w:r>
        <w:rPr>
          <w:rFonts w:ascii="Aptos" w:hAnsi="Aptos"/>
          <w:b w:val="0"/>
          <w:color w:val="1F1F1F"/>
          <w:sz w:val="17"/>
        </w:rPr>
        <w:t>Closing authorised restatement: [to be reconciled]</w:t>
      </w:r>
    </w:p>
    <w:p>
      <w:pPr>
        <w:spacing w:after="40" w:line="240" w:lineRule="auto"/>
      </w:pPr>
      <w:r>
        <w:rPr>
          <w:rFonts w:ascii="Aptos" w:hAnsi="Aptos"/>
          <w:b w:val="0"/>
          <w:color w:val="1F1F1F"/>
          <w:sz w:val="17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AFBFC"/>
            <w:tcBorders>
              <w:top w:val="single" w:sz="6" w:color="9AA7B0"/>
              <w:left w:val="single" w:sz="6" w:color="9AA7B0"/>
              <w:bottom w:val="single" w:sz="6" w:color="9AA7B0"/>
              <w:right w:val="single" w:sz="6" w:color="9AA7B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6B7280"/>
                <w:sz w:val="17"/>
              </w:rPr>
              <w:t>Authorised bridge chart frame</w:t>
            </w:r>
          </w:p>
        </w:tc>
      </w:tr>
    </w:tbl>
    <w:p>
      <w:r>
        <w:br w:type="page"/>
      </w:r>
    </w:p>
    <w:p>
      <w:pPr>
        <w:spacing w:after="20" w:before="0"/>
      </w:pPr>
      <w:r>
        <w:rPr>
          <w:rFonts w:ascii="Aptos" w:hAnsi="Aptos"/>
          <w:b/>
          <w:color w:val="5B6B7A"/>
          <w:sz w:val="16"/>
        </w:rPr>
        <w:t>WORKING DRAFT  |  counsel completion</w:t>
      </w:r>
    </w:p>
    <w:p>
      <w:pPr>
        <w:spacing w:before="0" w:after="80"/>
      </w:pPr>
      <w:r>
        <w:rPr>
          <w:rFonts w:ascii="Aptos Display" w:hAnsi="Aptos Display"/>
          <w:b/>
          <w:color w:val="17365D"/>
          <w:sz w:val="34"/>
        </w:rPr>
        <w:t>Counsel decision record</w:t>
      </w:r>
    </w:p>
    <w:p>
      <w:pPr>
        <w:spacing w:after="160" w:line="240" w:lineRule="auto"/>
      </w:pPr>
      <w:r>
        <w:rPr>
          <w:rFonts w:ascii="Aptos" w:hAnsi="Aptos"/>
          <w:b w:val="0"/>
          <w:color w:val="44546A"/>
          <w:sz w:val="17"/>
        </w:rPr>
        <w:t>Foxglove renewal review. Complete by hand after review of the corrected analysis.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rHeight w:val="709"/>
        </w:trPr>
        <w:tc>
          <w:tcPr>
            <w:tcW w:type="dxa" w:w="2520"/>
            <w:shd w:fill="EAF3F8"/>
            <w:vAlign w:val="center"/>
          </w:tcPr>
          <w:p>
            <w:pPr>
              <w:spacing w:after="0" w:before="0"/>
            </w:pPr>
            <w:commentRangeStart w:id="5"/>
            <w:r>
              <w:rPr>
                <w:rFonts w:ascii="Aptos" w:hAnsi="Aptos"/>
                <w:b/>
                <w:color w:val="17365D"/>
                <w:sz w:val="17"/>
              </w:rPr>
              <w:t>Renewal decision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type="dxa" w:w="7560"/>
            <w:tcBorders>
              <w:bottom w:val="single" w:sz="8" w:color="6B7280"/>
            </w:tcBorders>
          </w:tcPr>
          <w:p>
            <w:pPr>
              <w:spacing w:after="0"/>
            </w:pPr>
          </w:p>
        </w:tc>
      </w:tr>
      <w:tr>
        <w:trPr>
          <w:trHeight w:val="624"/>
        </w:trPr>
        <w:tc>
          <w:tcPr>
            <w:tcW w:type="dxa" w:w="2520"/>
            <w:shd w:fill="EAF3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7"/>
              </w:rPr>
              <w:t>Decision date</w:t>
            </w:r>
          </w:p>
        </w:tc>
        <w:tc>
          <w:tcPr>
            <w:tcW w:type="dxa" w:w="7560"/>
            <w:tcBorders>
              <w:bottom w:val="single" w:sz="8" w:color="6B7280"/>
            </w:tcBorders>
          </w:tcPr>
          <w:p>
            <w:pPr>
              <w:spacing w:after="0"/>
            </w:pPr>
          </w:p>
        </w:tc>
      </w:tr>
      <w:tr>
        <w:trPr>
          <w:trHeight w:val="624"/>
        </w:trPr>
        <w:tc>
          <w:tcPr>
            <w:tcW w:type="dxa" w:w="2520"/>
            <w:shd w:fill="EAF3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7"/>
              </w:rPr>
              <w:t>Counsel initials</w:t>
            </w:r>
          </w:p>
        </w:tc>
        <w:tc>
          <w:tcPr>
            <w:tcW w:type="dxa" w:w="7560"/>
            <w:tcBorders>
              <w:bottom w:val="single" w:sz="8" w:color="6B7280"/>
            </w:tcBorders>
          </w:tcPr>
          <w:p>
            <w:pPr>
              <w:spacing w:after="0"/>
            </w:pPr>
          </w:p>
        </w:tc>
      </w:tr>
      <w:tr>
        <w:trPr>
          <w:trHeight w:val="3005"/>
        </w:trPr>
        <w:tc>
          <w:tcPr>
            <w:tcW w:type="dxa" w:w="2520"/>
            <w:shd w:fill="EAF3F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7"/>
              </w:rPr>
              <w:t>Conditions / follow-up</w:t>
            </w:r>
          </w:p>
        </w:tc>
        <w:tc>
          <w:tcPr>
            <w:tcW w:type="dxa" w:w="7560"/>
            <w:tcBorders>
              <w:bottom w:val="single" w:sz="8" w:color="6B7280"/>
            </w:tcBorders>
          </w:tcPr>
          <w:p>
            <w:pPr>
              <w:spacing w:after="0"/>
            </w:pPr>
          </w:p>
        </w:tc>
      </w:tr>
    </w:tbl>
    <w:p>
      <w:pPr>
        <w:spacing w:after="40" w:line="240" w:lineRule="auto"/>
      </w:pPr>
      <w:r>
        <w:rPr>
          <w:rFonts w:ascii="Aptos" w:hAnsi="Aptos"/>
          <w:b w:val="0"/>
          <w:color w:val="1F1F1F"/>
          <w:sz w:val="17"/>
        </w:rPr>
      </w:r>
    </w:p>
    <w:p>
      <w:pPr>
        <w:spacing w:after="0" w:line="240" w:lineRule="auto"/>
      </w:pPr>
      <w:r>
        <w:rPr>
          <w:rFonts w:ascii="Aptos" w:hAnsi="Aptos"/>
          <w:b w:val="0"/>
          <w:color w:val="5B6B7A"/>
          <w:sz w:val="16"/>
        </w:rPr>
        <w:t>Analyst hand-off: the final pack should state the supported rate and factual reconciliation only; counsel records the renewal decision here.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65" w:left="822" w:header="312" w:footer="31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uben Abara" w:initials="RA" w:date="2026-08-16T15:40:13Z">
    <w:p>
      <w:pPr>
        <w:pStyle w:val="CommentText"/>
      </w:pPr>
      <w:r>
        <w:rPr>
          <w:rStyle w:val="CommentReference"/>
        </w:rPr>
        <w:annotationRef/>
      </w:r>
      <w:r>
        <w:t>Correct the dated basis. The 10 July numerator is being paired with 3 July exposure; use compatible snapshots before presenting a headline.</w:t>
      </w:r>
    </w:p>
  </w:comment>
  <w:comment w:id="1" w:author="Ruben Abara" w:initials="RA" w:date="2026-08-16T15:40:13Z">
    <w:p>
      <w:pPr>
        <w:pStyle w:val="CommentText"/>
      </w:pPr>
      <w:r>
        <w:rPr>
          <w:rStyle w:val="CommentReference"/>
        </w:rPr>
        <w:annotationRef/>
      </w:r>
      <w:r>
        <w:t>Remove unsupported deterioration language. Keep the pack to the supplied records and do not add external benchmarks or legal conclusions.</w:t>
      </w:r>
    </w:p>
  </w:comment>
  <w:comment w:id="2" w:author="Ruben Abara" w:initials="RA" w:date="2026-08-16T15:40:13Z">
    <w:p>
      <w:pPr>
        <w:pStyle w:val="CommentText"/>
      </w:pPr>
      <w:r>
        <w:rPr>
          <w:rStyle w:val="CommentReference"/>
        </w:rPr>
        <w:annotationRef/>
      </w:r>
      <w:r>
        <w:t>Rebuild this table and chart from matched period-end and snapshot dates. The aligned values, chart, and prose must agree.</w:t>
      </w:r>
    </w:p>
  </w:comment>
  <w:comment w:id="3" w:author="Ruben Abara" w:initials="RA" w:date="2026-08-16T15:40:13Z">
    <w:p>
      <w:pPr>
        <w:pStyle w:val="CommentText"/>
      </w:pPr>
      <w:r>
        <w:rPr>
          <w:rStyle w:val="CommentReference"/>
        </w:rPr>
        <w:annotationRef/>
      </w:r>
      <w:r>
        <w:t>Do not leave a chart based on the invalid mixed-date rate in the final pack.</w:t>
      </w:r>
    </w:p>
  </w:comment>
  <w:comment w:id="4" w:author="Ruben Abara" w:initials="RA" w:date="2026-08-16T15:40:13Z">
    <w:p>
      <w:pPr>
        <w:pStyle w:val="CommentText"/>
      </w:pPr>
      <w:r>
        <w:rPr>
          <w:rStyle w:val="CommentReference"/>
        </w:rPr>
        <w:annotationRef/>
      </w:r>
      <w:r>
        <w:t>Explain every approved addition, withdrawal, reclassification, and exposure correction. A reclassification changes composition only; it does not change the total incident count.</w:t>
      </w:r>
    </w:p>
  </w:comment>
  <w:comment w:id="5" w:author="Ruben Abara" w:initials="RA" w:date="2026-08-16T15:40:13Z">
    <w:p>
      <w:pPr>
        <w:pStyle w:val="CommentText"/>
      </w:pPr>
      <w:r>
        <w:rPr>
          <w:rStyle w:val="CommentReference"/>
        </w:rPr>
        <w:annotationRef/>
      </w:r>
      <w:r>
        <w:t>Keep each counsel completion cell genuinely blank and visibly ruled in the corrected pack.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5"/>
      </w:rPr>
      <w:t>Gallowspring Associates counsel pack  |  Internal working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5"/>
      </w:rPr>
      <w:t>ELMSWORTH FIELD SERVICES  |  FOXGLOVE RENEWAL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