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Glassmere Terminals</w:t>
      </w:r>
    </w:p>
    <w:p>
      <w:r>
        <w:rPr>
          <w:b/>
          <w:color w:val="505050"/>
          <w:sz w:val="30"/>
        </w:rPr>
        <w:t>Alternate elastic rail clip | Board decision brief</w:t>
      </w:r>
    </w:p>
    <w:p>
      <w:pPr>
        <w:spacing w:after="120"/>
      </w:pPr>
      <w:r>
        <w:t>Saltmarsh Energy  |  For Josefa Ferreira and Elias Sepulveda (Contracting &amp; Legal)  |  07 March 2026</w:t>
      </w:r>
    </w:p>
    <w:p>
      <w:pPr>
        <w:spacing w:before="120" w:after="40"/>
      </w:pPr>
      <w:r>
        <w:rPr>
          <w:b/>
          <w:color w:val="1F4E79"/>
          <w:sz w:val="26"/>
        </w:rPr>
        <w:t>Decision Summary</w:t>
      </w:r>
    </w:p>
    <w:p>
      <w:r>
        <w:t>Saltmarsh requests conditional permission to run the alternate elastic rail clip through the proposed staged Glassmere trial, with no unrestricted alternate listing until the unresolved verification-sample finding is addressed and the trial record is reviewed.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Headline current position</w:t>
            </w:r>
          </w:p>
        </w:tc>
        <w:tc>
          <w:tcPr>
            <w:tcW w:type="dxa" w:w="525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Basis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 of 6 records in a decision-ready state; 1 remains unresolved</w:t>
            </w:r>
          </w:p>
        </w:tc>
        <w:tc>
          <w:tcPr>
            <w:tcW w:type="dxa" w:w="525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Replay of opening register + all 8 review events; each stable key counted once.</w:t>
            </w:r>
          </w:p>
        </w:tc>
      </w:tr>
    </w:tbl>
    <w:p>
      <w:pPr>
        <w:pStyle w:val="ListBullet"/>
        <w:spacing w:after="20"/>
      </w:pPr>
      <w:r>
        <w:t>Decision-ready: TECH-01 and TECH-02 are closed; EVID-01 is accepted only with its test-condition limitation; TRIAL-01 is Gate 1 ready; COMM-01 is accepted.</w:t>
      </w:r>
    </w:p>
    <w:p>
      <w:pPr>
        <w:pStyle w:val="ListBullet"/>
        <w:spacing w:after="20"/>
      </w:pPr>
      <w:r>
        <w:t>Decision condition: TECH-EDGE-01 is unresolved because the later required verification sample was not accepted (EV-004 / REV-EDGE-02).</w:t>
      </w:r>
    </w:p>
    <w:p>
      <w:pPr>
        <w:spacing w:before="120" w:after="40"/>
      </w:pPr>
      <w:r>
        <w:rPr>
          <w:b/>
          <w:color w:val="1F4E79"/>
          <w:sz w:val="26"/>
        </w:rPr>
        <w:t>Service-History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Relevant in-track history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Decision meaning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Saltmarsh alternate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7.3 years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Shorter record; material uncertainty remains.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HIST-01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incumbent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31.8 years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Longer established field record.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HIST-01</w:t>
            </w:r>
          </w:p>
        </w:tc>
      </w:tr>
    </w:tbl>
    <w:p>
      <w:r>
        <w:t>The alternate has a substantially shorter field-service record than the incumbent (7.3 versus 31.8 years). Saltmarsh concedes this gap; fatigue testing supports the bounded trial but does not erase it.</w:t>
      </w:r>
    </w:p>
    <w:p>
      <w:pPr>
        <w:spacing w:before="120" w:after="40"/>
      </w:pPr>
      <w:r>
        <w:rPr>
          <w:b/>
          <w:color w:val="1F4E79"/>
          <w:sz w:val="26"/>
        </w:rPr>
        <w:t>Technical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Measured item</w:t>
            </w:r>
          </w:p>
        </w:tc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population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 alternate clips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FAT-01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Applied condition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1.5× nominal service load; 2.0 million cycles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FAT-01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Observed outcome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12/12 completed; no fracture or loss of retention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FAT-02</w:t>
            </w:r>
          </w:p>
        </w:tc>
      </w:tr>
    </w:tbl>
    <w:p>
      <w:r>
        <w:t>Interpretation: these results support performance under the stated accelerated condition. They are not proof of equivalent field life, and no such equivalence is claimed. (FAT-01/FAT-02)</w:t>
      </w:r>
    </w:p>
    <w:p>
      <w:pPr>
        <w:spacing w:before="120" w:after="40"/>
      </w:pPr>
      <w:r>
        <w:rPr>
          <w:b/>
          <w:color w:val="1F4E79"/>
          <w:sz w:val="26"/>
        </w:rPr>
        <w:t>Residual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Key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Replayed current state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Last event / source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TECH-EDGE-01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Unresolved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Required verification sample was rejected after an earlier apparent closure; do not treat as fully closed.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EV-004 / REV-EDGE-02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EVID-01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Accepted — limited to stated test condition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Accelerated test boundary limits extrapolation to field life.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EV-006 / REV-EVID-02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 convention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Disclosed assumption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02/03/2026 is retained as DD/MM/YYYY (2 March 2026); MM/DD would be 3 February. Both fall after EV-005 and before EV-007, so the replayed predecessor/successor order is unchanged.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EV-006</w:t>
            </w:r>
          </w:p>
        </w:tc>
      </w:tr>
    </w:tbl>
    <w:p>
      <w:pPr>
        <w:spacing w:before="120" w:after="40"/>
      </w:pPr>
      <w:r>
        <w:rPr>
          <w:b/>
          <w:color w:val="1F4E79"/>
          <w:sz w:val="26"/>
        </w:rPr>
        <w:t>Staged Trial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Stage / window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Control and evidence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Gate / escalation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| 0–30 days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Baseline fit-up inspection; rail-seat and clip-position photographs. (TRIAL-01)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Proceed when checklist is complete; escalate any damage or misfit.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Lucia Jelinek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| 31–90 days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Inspections at day 30 and day 90; record retention and visible wear. (TRIAL-02)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Continue only with no loss of retention and complete wear record; stop/review on deviation.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Mateo Ainsworth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| 91–180 days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End-of-trial condition review and evidence pack. (TRIAL-03)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 alternate listing only after records review and resolution of TECH-EDGE-01.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Mateo Ainsworth + Lucia Jelinek</w:t>
            </w:r>
          </w:p>
        </w:tc>
      </w:tr>
    </w:tbl>
    <w:p>
      <w:r>
        <w:t>These are proposed controls from Saltmarsh evidence, subject to Glassmere confirmation. Timing is a proposed 180-day window, not a field-life guarantee.</w:t>
      </w:r>
    </w:p>
    <w:p>
      <w:pPr>
        <w:spacing w:before="120" w:after="40"/>
      </w:pPr>
      <w:r>
        <w:rPr>
          <w:b/>
          <w:color w:val="1F4E79"/>
          <w:sz w:val="26"/>
        </w:rPr>
        <w:t>Commercial Position</w:t>
      </w:r>
    </w:p>
    <w:p>
      <w:r>
        <w:t>Supplied unit rate: USD 18.47 per clip (COMM-01; source value 18.4700000003 rounded to sensible currency precision). The rate covers clip supply only; installation, inspection, and trial administration are outside this unit rate.</w:t>
      </w:r>
    </w:p>
    <w:p>
      <w:pPr>
        <w:spacing w:before="120" w:after="40"/>
      </w:pPr>
      <w:r>
        <w:rPr>
          <w:b/>
          <w:color w:val="1F4E79"/>
          <w:sz w:val="26"/>
        </w:rPr>
        <w:t>Decision Requested</w:t>
      </w:r>
    </w:p>
    <w:p>
      <w:r>
        <w:t>Approve a conditional, staged trial of Saltmarsh's alternate elastic rail clip for the defined Glassmere maintenance-equipment scope, subject to the gates above. Do not grant unrestricted approved-alternate status on the current evidence. Require TECH-EDGE-01 verification-sample resolution before any final standards listing.</w:t>
      </w:r>
    </w:p>
    <w:p>
      <w:pPr>
        <w:spacing w:before="120" w:after="40"/>
      </w:pPr>
      <w:r>
        <w:rPr>
          <w:b/>
          <w:color w:val="1F4E79"/>
          <w:sz w:val="26"/>
        </w:rPr>
        <w:t>Next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Timing / completion condition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trial scope, equipment list and Stage 1 checklist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Lucia Jelinek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Stage 1 start; Glassmere confirmation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Resolve or repeat the rejected TECH-EDGE-01 verification sample and record acceptance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Mateo Ainsworth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Stage 3 recommendation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day-30 and day-90 inspections; retain photographs and wear/retention records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Mateo Ainsworth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Within 31–90-day Stage 2 window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commercial treatment of installation and trial administration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Lachlan Mikkelsen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contracting approval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end-of-trial evidence and decide on listing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Josefa Ferreira / Elias Sepulveda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 Stage 3 close, 91–180 days</w:t>
            </w:r>
          </w:p>
        </w:tc>
      </w:tr>
    </w:tbl>
    <w:p>
      <w:pPr>
        <w:spacing w:before="120" w:after="40"/>
      </w:pPr>
      <w:r>
        <w:rPr>
          <w:b/>
          <w:color w:val="1F4E79"/>
          <w:sz w:val="26"/>
        </w:rPr>
        <w:t>Assumptions &amp; Limitations</w:t>
      </w:r>
    </w:p>
    <w:p>
      <w:pPr>
        <w:pStyle w:val="ListBullet"/>
        <w:spacing w:after="20"/>
      </w:pPr>
      <w:r>
        <w:t>The mixed-format event date 02/03/2026 is interpreted as DD/MM/YYYY (2 March 2026), consistent with the source context; the alternate reading does not change event ordering here.</w:t>
      </w:r>
    </w:p>
    <w:p>
      <w:pPr>
        <w:pStyle w:val="ListBullet"/>
        <w:spacing w:after="20"/>
      </w:pPr>
      <w:r>
        <w:t>The headline counts six distinct register keys once after replay; “decision-ready” includes Closed, Accepted, Accepted — limited to stated test condition, and Gate 1 ready. The unresolved edge case is excluded.</w:t>
      </w:r>
    </w:p>
    <w:p>
      <w:pPr>
        <w:pStyle w:val="ListBullet"/>
        <w:spacing w:after="20"/>
      </w:pPr>
      <w:r>
        <w:t>Only supplied facts are used. Trial gates are proposals, not observed results or guarantees. Accelerated fatigue evidence is bounded to the stated test condition.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Saltmarsh Energy | Glassmere alternate acceptance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