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ptos Display" w:hAnsi="Aptos Display"/>
          <w:b/>
          <w:color w:val="1F435C"/>
          <w:sz w:val="34"/>
        </w:rPr>
        <w:t>SITE SELECTION DECISION MEMORANDUM</w:t>
      </w:r>
    </w:p>
    <w:tbl>
      <w:tblPr>
        <w:tblW w:type="auto" w:w="0"/>
        <w:jc w:val="left"/>
        <w:tblLayout w:type="fixed"/>
        <w:tblLook w:firstColumn="1" w:firstRow="1" w:lastColumn="0" w:lastRow="0" w:noHBand="0" w:noVBand="1" w:val="04A0"/>
      </w:tblPr>
      <w:tblGrid>
        <w:gridCol w:w="1512"/>
        <w:gridCol w:w="10008"/>
      </w:tblGrid>
      <w:tr>
        <w:tc>
          <w:tcPr>
            <w:tcW w:type="dxa" w:w="1512"/>
            <w:vAlign w:val="center"/>
          </w:tcPr>
          <w:p>
            <w:pPr>
              <w:spacing w:after="0"/>
            </w:pPr>
            <w:r/>
            <w:r>
              <w:rPr>
                <w:rFonts w:ascii="Aptos" w:hAnsi="Aptos"/>
                <w:b/>
                <w:color w:val="5C6670"/>
                <w:sz w:val="16"/>
              </w:rPr>
              <w:t>TO</w:t>
            </w:r>
          </w:p>
        </w:tc>
        <w:tc>
          <w:tcPr>
            <w:tcW w:type="dxa" w:w="10008"/>
            <w:vAlign w:val="center"/>
          </w:tcPr>
          <w:p>
            <w:pPr>
              <w:spacing w:after="0"/>
            </w:pPr>
            <w:r/>
            <w:r>
              <w:rPr>
                <w:rFonts w:ascii="Aptos" w:hAnsi="Aptos"/>
                <w:b w:val="0"/>
                <w:sz w:val="17"/>
              </w:rPr>
              <w:t>Karin Boateng, VP Supply Chain</w:t>
            </w:r>
          </w:p>
        </w:tc>
      </w:tr>
      <w:tr>
        <w:tc>
          <w:tcPr>
            <w:tcW w:type="dxa" w:w="1512"/>
            <w:vAlign w:val="center"/>
          </w:tcPr>
          <w:p>
            <w:pPr>
              <w:spacing w:after="0"/>
            </w:pPr>
            <w:r/>
            <w:r>
              <w:rPr>
                <w:rFonts w:ascii="Aptos" w:hAnsi="Aptos"/>
                <w:b/>
                <w:color w:val="5C6670"/>
                <w:sz w:val="16"/>
              </w:rPr>
              <w:t>FROM</w:t>
            </w:r>
          </w:p>
        </w:tc>
        <w:tc>
          <w:tcPr>
            <w:tcW w:type="dxa" w:w="10008"/>
            <w:vAlign w:val="center"/>
          </w:tcPr>
          <w:p>
            <w:pPr>
              <w:spacing w:after="0"/>
            </w:pPr>
            <w:r/>
            <w:r>
              <w:rPr>
                <w:rFonts w:ascii="Aptos" w:hAnsi="Aptos"/>
                <w:b w:val="0"/>
                <w:sz w:val="17"/>
              </w:rPr>
              <w:t>Theo Ferreira, Broker</w:t>
            </w:r>
          </w:p>
        </w:tc>
      </w:tr>
      <w:tr>
        <w:tc>
          <w:tcPr>
            <w:tcW w:type="dxa" w:w="1512"/>
            <w:vAlign w:val="center"/>
          </w:tcPr>
          <w:p>
            <w:pPr>
              <w:spacing w:after="0"/>
            </w:pPr>
            <w:r/>
            <w:r>
              <w:rPr>
                <w:rFonts w:ascii="Aptos" w:hAnsi="Aptos"/>
                <w:b/>
                <w:color w:val="5C6670"/>
                <w:sz w:val="16"/>
              </w:rPr>
              <w:t>DATE</w:t>
            </w:r>
          </w:p>
        </w:tc>
        <w:tc>
          <w:tcPr>
            <w:tcW w:type="dxa" w:w="10008"/>
            <w:vAlign w:val="center"/>
          </w:tcPr>
          <w:p>
            <w:pPr>
              <w:spacing w:after="0"/>
            </w:pPr>
            <w:r/>
            <w:r>
              <w:rPr>
                <w:rFonts w:ascii="Aptos" w:hAnsi="Aptos"/>
                <w:b w:val="0"/>
                <w:sz w:val="17"/>
              </w:rPr>
              <w:t>September 12, 2026</w:t>
            </w:r>
          </w:p>
        </w:tc>
      </w:tr>
      <w:tr>
        <w:tc>
          <w:tcPr>
            <w:tcW w:type="dxa" w:w="1512"/>
            <w:vAlign w:val="center"/>
          </w:tcPr>
          <w:p>
            <w:pPr>
              <w:spacing w:after="0"/>
            </w:pPr>
            <w:r/>
            <w:r>
              <w:rPr>
                <w:rFonts w:ascii="Aptos" w:hAnsi="Aptos"/>
                <w:b/>
                <w:color w:val="5C6670"/>
                <w:sz w:val="16"/>
              </w:rPr>
              <w:t>SUBJECT</w:t>
            </w:r>
          </w:p>
        </w:tc>
        <w:tc>
          <w:tcPr>
            <w:tcW w:type="dxa" w:w="10008"/>
            <w:vAlign w:val="center"/>
          </w:tcPr>
          <w:p>
            <w:pPr>
              <w:spacing w:after="0"/>
            </w:pPr>
            <w:r/>
            <w:r>
              <w:rPr>
                <w:rFonts w:ascii="Aptos" w:hAnsi="Aptos"/>
                <w:b w:val="0"/>
                <w:sz w:val="17"/>
              </w:rPr>
              <w:t>Authorize one Ohio depot LOI for September 18 committee action</w:t>
            </w:r>
          </w:p>
        </w:tc>
      </w:tr>
    </w:tbl>
    <w:p>
      <w:pPr>
        <w:spacing w:before="100" w:after="100"/>
      </w:pPr>
      <w:r>
        <w:rPr>
          <w:b/>
          <w:color w:val="1F435C"/>
        </w:rPr>
        <w:t xml:space="preserve">DECISION REQUEST  </w:t>
      </w:r>
      <w:r>
        <w:t>Authorize me to pursue one non-binding LOI for 2750 Flint Commerce Drive, Flint Logistics Hall, on a ten-year term. The LOI should secure a defined negotiation period and preserve Dunmarrow's right to walk away. It is authority to negotiate only: it is not a lease, does not authorize lease execution, and does not waive legal, title, environmental, zoning, physical-condition, insurance, lender-consent or signing-authority diligence.</w:t>
      </w:r>
    </w:p>
    <w:p>
      <w:pPr>
        <w:spacing w:before="120" w:after="40"/>
      </w:pPr>
      <w:r>
        <w:rPr>
          <w:b/>
          <w:color w:val="1F435C"/>
          <w:sz w:val="18"/>
        </w:rPr>
        <w:t>RECOMMENDATION AND FRAME</w:t>
      </w:r>
    </w:p>
    <w:p>
      <w:r>
        <w:rPr>
          <w:b/>
        </w:rPr>
        <w:t xml:space="preserve">I recommend 2750 Flint Commerce Drive. </w:t>
      </w:r>
      <w:r>
        <w:t>The controlling frame is near-term opening certainty: Flint delivers twelve existing docks, the initial ten-dock requirement is met at possession without construction, and the institutional owner has delivered an ownership chart, audited financial statements and written confirmation that no lender consent is required. Proposed possession is February 1, later than Alloy's January 15, but materially more supportable on the evidence currently in hand. The cost of this frame is explicit: Flint has no contractual expansion area or option and remains one dock short of the month-18 forecast of thirteen. The operating team must own a plan for that residual shortfall; I am not treating an unoffered adjacent parcel as a real-estate solution.</w:t>
      </w:r>
    </w:p>
    <w:p>
      <w:pPr>
        <w:spacing w:before="120" w:after="40"/>
      </w:pPr>
      <w:r>
        <w:rPr>
          <w:b/>
          <w:color w:val="1F435C"/>
          <w:sz w:val="18"/>
        </w:rPr>
        <w:t>COMMON COMPARISON | AUGUST TO SEPTEMBER</w:t>
      </w:r>
    </w:p>
    <w:tbl>
      <w:tblPr>
        <w:tblW w:type="auto" w:w="0"/>
        <w:jc w:val="center"/>
        <w:tblLayout w:type="fixed"/>
        <w:tblLook w:firstColumn="1" w:firstRow="1" w:lastColumn="0" w:lastRow="0" w:noHBand="0" w:noVBand="1" w:val="04A0"/>
      </w:tblPr>
      <w:tblGrid>
        <w:gridCol w:w="1307"/>
        <w:gridCol w:w="1307"/>
        <w:gridCol w:w="1307"/>
        <w:gridCol w:w="1307"/>
        <w:gridCol w:w="1307"/>
        <w:gridCol w:w="1307"/>
        <w:gridCol w:w="1307"/>
        <w:gridCol w:w="1307"/>
      </w:tblGrid>
      <w:tr>
        <w:trPr>
          <w:tblHeader w:val="true"/>
        </w:trPr>
        <w:tc>
          <w:tcPr>
            <w:tcW w:type="dxa" w:w="2232"/>
            <w:vAlign w:val="center"/>
            <w:shd w:fill="1F435C"/>
          </w:tcPr>
          <w:p>
            <w:pPr>
              <w:spacing w:after="0"/>
            </w:pPr>
            <w:r/>
            <w:r>
              <w:rPr>
                <w:rFonts w:ascii="Aptos" w:hAnsi="Aptos"/>
                <w:b/>
                <w:color w:val="FFFFFF"/>
                <w:sz w:val="14"/>
              </w:rPr>
              <w:t>Property</w:t>
            </w:r>
          </w:p>
        </w:tc>
        <w:tc>
          <w:tcPr>
            <w:tcW w:type="dxa" w:w="893"/>
            <w:vAlign w:val="center"/>
            <w:shd w:fill="1F435C"/>
          </w:tcPr>
          <w:p>
            <w:pPr>
              <w:spacing w:after="0"/>
            </w:pPr>
            <w:r/>
            <w:r>
              <w:rPr>
                <w:rFonts w:ascii="Aptos" w:hAnsi="Aptos"/>
                <w:b/>
                <w:color w:val="FFFFFF"/>
                <w:sz w:val="14"/>
              </w:rPr>
              <w:t>Size</w:t>
              <w:br/>
              <w:t>(sf)</w:t>
            </w:r>
          </w:p>
        </w:tc>
        <w:tc>
          <w:tcPr>
            <w:tcW w:type="dxa" w:w="893"/>
            <w:vAlign w:val="center"/>
            <w:shd w:fill="1F435C"/>
          </w:tcPr>
          <w:p>
            <w:pPr>
              <w:spacing w:after="0"/>
            </w:pPr>
            <w:r/>
            <w:r>
              <w:rPr>
                <w:rFonts w:ascii="Aptos" w:hAnsi="Aptos"/>
                <w:b/>
                <w:color w:val="FFFFFF"/>
                <w:sz w:val="14"/>
              </w:rPr>
              <w:t>Clear</w:t>
              <w:br/>
              <w:t>(ft)</w:t>
            </w:r>
          </w:p>
        </w:tc>
        <w:tc>
          <w:tcPr>
            <w:tcW w:type="dxa" w:w="806"/>
            <w:vAlign w:val="center"/>
            <w:shd w:fill="1F435C"/>
          </w:tcPr>
          <w:p>
            <w:pPr>
              <w:spacing w:after="0"/>
            </w:pPr>
            <w:r/>
            <w:r>
              <w:rPr>
                <w:rFonts w:ascii="Aptos" w:hAnsi="Aptos"/>
                <w:b/>
                <w:color w:val="FFFFFF"/>
                <w:sz w:val="14"/>
              </w:rPr>
              <w:t>Docks</w:t>
              <w:br/>
              <w:t>existing</w:t>
            </w:r>
          </w:p>
        </w:tc>
        <w:tc>
          <w:tcPr>
            <w:tcW w:type="dxa" w:w="806"/>
            <w:vAlign w:val="center"/>
            <w:shd w:fill="1F435C"/>
          </w:tcPr>
          <w:p>
            <w:pPr>
              <w:spacing w:after="0"/>
            </w:pPr>
            <w:r/>
            <w:r>
              <w:rPr>
                <w:rFonts w:ascii="Aptos" w:hAnsi="Aptos"/>
                <w:b/>
                <w:color w:val="FFFFFF"/>
                <w:sz w:val="14"/>
              </w:rPr>
              <w:t>Possession</w:t>
            </w:r>
          </w:p>
        </w:tc>
        <w:tc>
          <w:tcPr>
            <w:tcW w:type="dxa" w:w="1181"/>
            <w:vAlign w:val="center"/>
            <w:shd w:fill="1F435C"/>
          </w:tcPr>
          <w:p>
            <w:pPr>
              <w:spacing w:after="0"/>
            </w:pPr>
            <w:r/>
            <w:r>
              <w:rPr>
                <w:rFonts w:ascii="Aptos" w:hAnsi="Aptos"/>
                <w:b/>
                <w:color w:val="FFFFFF"/>
                <w:sz w:val="14"/>
              </w:rPr>
              <w:t>Effective rent</w:t>
              <w:br/>
              <w:t>Aug → Sep</w:t>
            </w:r>
          </w:p>
        </w:tc>
        <w:tc>
          <w:tcPr>
            <w:tcW w:type="dxa" w:w="1181"/>
            <w:vAlign w:val="center"/>
            <w:shd w:fill="1F435C"/>
          </w:tcPr>
          <w:p>
            <w:pPr>
              <w:spacing w:after="0"/>
            </w:pPr>
            <w:r/>
            <w:r>
              <w:rPr>
                <w:rFonts w:ascii="Aptos" w:hAnsi="Aptos"/>
                <w:b/>
                <w:color w:val="FFFFFF"/>
                <w:sz w:val="14"/>
              </w:rPr>
              <w:t>Score</w:t>
              <w:br/>
              <w:t>Aug → Sep</w:t>
            </w:r>
          </w:p>
        </w:tc>
        <w:tc>
          <w:tcPr>
            <w:tcW w:type="dxa" w:w="2448"/>
            <w:vAlign w:val="center"/>
            <w:shd w:fill="1F435C"/>
          </w:tcPr>
          <w:p>
            <w:pPr>
              <w:spacing w:after="0"/>
            </w:pPr>
            <w:r/>
            <w:r>
              <w:rPr>
                <w:rFonts w:ascii="Aptos" w:hAnsi="Aptos"/>
                <w:b/>
                <w:color w:val="FFFFFF"/>
                <w:sz w:val="14"/>
              </w:rPr>
              <w:t>Expansion status</w:t>
            </w:r>
          </w:p>
        </w:tc>
      </w:tr>
      <w:tr>
        <w:tc>
          <w:tcPr>
            <w:tcW w:type="dxa" w:w="2232"/>
            <w:vAlign w:val="center"/>
          </w:tcPr>
          <w:p>
            <w:pPr>
              <w:spacing w:after="0"/>
            </w:pPr>
            <w:r/>
            <w:r>
              <w:rPr>
                <w:rFonts w:ascii="Aptos" w:hAnsi="Aptos"/>
                <w:b/>
                <w:sz w:val="14"/>
              </w:rPr>
              <w:t>4180 Alloy Parkway</w:t>
              <w:br/>
              <w:t>Meridian Commerce Center</w:t>
            </w:r>
          </w:p>
        </w:tc>
        <w:tc>
          <w:tcPr>
            <w:tcW w:type="dxa" w:w="893"/>
            <w:vAlign w:val="center"/>
          </w:tcPr>
          <w:p>
            <w:pPr>
              <w:spacing w:after="0"/>
            </w:pPr>
            <w:r/>
            <w:r>
              <w:rPr>
                <w:rFonts w:ascii="Aptos" w:hAnsi="Aptos"/>
                <w:b w:val="0"/>
                <w:sz w:val="14"/>
              </w:rPr>
              <w:t>34,800</w:t>
            </w:r>
          </w:p>
        </w:tc>
        <w:tc>
          <w:tcPr>
            <w:tcW w:type="dxa" w:w="893"/>
            <w:vAlign w:val="center"/>
          </w:tcPr>
          <w:p>
            <w:pPr>
              <w:spacing w:after="0"/>
            </w:pPr>
            <w:r/>
            <w:r>
              <w:rPr>
                <w:rFonts w:ascii="Aptos" w:hAnsi="Aptos"/>
                <w:b w:val="0"/>
                <w:sz w:val="14"/>
              </w:rPr>
              <w:t>32</w:t>
            </w:r>
          </w:p>
        </w:tc>
        <w:tc>
          <w:tcPr>
            <w:tcW w:type="dxa" w:w="806"/>
            <w:vAlign w:val="center"/>
          </w:tcPr>
          <w:p>
            <w:pPr>
              <w:spacing w:after="0"/>
            </w:pPr>
            <w:r/>
            <w:r>
              <w:rPr>
                <w:rFonts w:ascii="Aptos" w:hAnsi="Aptos"/>
                <w:b w:val="0"/>
                <w:sz w:val="14"/>
              </w:rPr>
              <w:t>8</w:t>
            </w:r>
          </w:p>
        </w:tc>
        <w:tc>
          <w:tcPr>
            <w:tcW w:type="dxa" w:w="806"/>
            <w:vAlign w:val="center"/>
          </w:tcPr>
          <w:p>
            <w:pPr>
              <w:spacing w:after="0"/>
            </w:pPr>
            <w:r/>
            <w:r>
              <w:rPr>
                <w:rFonts w:ascii="Aptos" w:hAnsi="Aptos"/>
                <w:b w:val="0"/>
                <w:sz w:val="14"/>
              </w:rPr>
              <w:t>Jan 15</w:t>
            </w:r>
          </w:p>
        </w:tc>
        <w:tc>
          <w:tcPr>
            <w:tcW w:type="dxa" w:w="1181"/>
            <w:vAlign w:val="center"/>
          </w:tcPr>
          <w:p>
            <w:pPr>
              <w:spacing w:after="0"/>
            </w:pPr>
            <w:r/>
            <w:r>
              <w:rPr>
                <w:rFonts w:ascii="Aptos" w:hAnsi="Aptos"/>
                <w:b w:val="0"/>
                <w:sz w:val="14"/>
              </w:rPr>
              <w:t>$9.84 → $9.96</w:t>
              <w:br/>
              <w:t>(+ $0.12)</w:t>
            </w:r>
          </w:p>
        </w:tc>
        <w:tc>
          <w:tcPr>
            <w:tcW w:type="dxa" w:w="1181"/>
            <w:vAlign w:val="center"/>
          </w:tcPr>
          <w:p>
            <w:pPr>
              <w:spacing w:after="0"/>
            </w:pPr>
            <w:r/>
            <w:r>
              <w:rPr>
                <w:rFonts w:ascii="Aptos" w:hAnsi="Aptos"/>
                <w:b w:val="0"/>
                <w:sz w:val="14"/>
              </w:rPr>
              <w:t>88 → 87</w:t>
            </w:r>
          </w:p>
        </w:tc>
        <w:tc>
          <w:tcPr>
            <w:tcW w:type="dxa" w:w="2448"/>
            <w:vAlign w:val="center"/>
          </w:tcPr>
          <w:p>
            <w:pPr>
              <w:spacing w:after="0"/>
            </w:pPr>
            <w:r/>
            <w:r>
              <w:rPr>
                <w:rFonts w:ascii="Aptos" w:hAnsi="Aptos"/>
                <w:b w:val="0"/>
                <w:sz w:val="14"/>
              </w:rPr>
              <w:t>Six additional docks permitted; owner states completion by Apr 30.</w:t>
            </w:r>
          </w:p>
        </w:tc>
      </w:tr>
      <w:tr>
        <w:tc>
          <w:tcPr>
            <w:tcW w:type="dxa" w:w="2232"/>
            <w:vAlign w:val="center"/>
            <w:shd w:fill="EAF2F6"/>
          </w:tcPr>
          <w:p>
            <w:pPr>
              <w:spacing w:after="0"/>
            </w:pPr>
            <w:r/>
            <w:r>
              <w:rPr>
                <w:rFonts w:ascii="Aptos" w:hAnsi="Aptos"/>
                <w:b/>
                <w:sz w:val="14"/>
              </w:rPr>
              <w:t>2750 Flint Commerce Drive</w:t>
              <w:br/>
              <w:t>Flint Logistics Hall</w:t>
            </w:r>
          </w:p>
        </w:tc>
        <w:tc>
          <w:tcPr>
            <w:tcW w:type="dxa" w:w="893"/>
            <w:vAlign w:val="center"/>
            <w:shd w:fill="EAF2F6"/>
          </w:tcPr>
          <w:p>
            <w:pPr>
              <w:spacing w:after="0"/>
            </w:pPr>
            <w:r/>
            <w:r>
              <w:rPr>
                <w:rFonts w:ascii="Aptos" w:hAnsi="Aptos"/>
                <w:b w:val="0"/>
                <w:sz w:val="14"/>
              </w:rPr>
              <w:t>36,200</w:t>
            </w:r>
          </w:p>
        </w:tc>
        <w:tc>
          <w:tcPr>
            <w:tcW w:type="dxa" w:w="893"/>
            <w:vAlign w:val="center"/>
            <w:shd w:fill="EAF2F6"/>
          </w:tcPr>
          <w:p>
            <w:pPr>
              <w:spacing w:after="0"/>
            </w:pPr>
            <w:r/>
            <w:r>
              <w:rPr>
                <w:rFonts w:ascii="Aptos" w:hAnsi="Aptos"/>
                <w:b w:val="0"/>
                <w:sz w:val="14"/>
              </w:rPr>
              <w:t>32</w:t>
            </w:r>
          </w:p>
        </w:tc>
        <w:tc>
          <w:tcPr>
            <w:tcW w:type="dxa" w:w="806"/>
            <w:vAlign w:val="center"/>
            <w:shd w:fill="EAF2F6"/>
          </w:tcPr>
          <w:p>
            <w:pPr>
              <w:spacing w:after="0"/>
            </w:pPr>
            <w:r/>
            <w:r>
              <w:rPr>
                <w:rFonts w:ascii="Aptos" w:hAnsi="Aptos"/>
                <w:b w:val="0"/>
                <w:sz w:val="14"/>
              </w:rPr>
              <w:t>12</w:t>
            </w:r>
          </w:p>
        </w:tc>
        <w:tc>
          <w:tcPr>
            <w:tcW w:type="dxa" w:w="806"/>
            <w:vAlign w:val="center"/>
            <w:shd w:fill="EAF2F6"/>
          </w:tcPr>
          <w:p>
            <w:pPr>
              <w:spacing w:after="0"/>
            </w:pPr>
            <w:r/>
            <w:r>
              <w:rPr>
                <w:rFonts w:ascii="Aptos" w:hAnsi="Aptos"/>
                <w:b w:val="0"/>
                <w:sz w:val="14"/>
              </w:rPr>
              <w:t>Feb 1</w:t>
            </w:r>
          </w:p>
        </w:tc>
        <w:tc>
          <w:tcPr>
            <w:tcW w:type="dxa" w:w="1181"/>
            <w:vAlign w:val="center"/>
            <w:shd w:fill="EAF2F6"/>
          </w:tcPr>
          <w:p>
            <w:pPr>
              <w:spacing w:after="0"/>
            </w:pPr>
            <w:r/>
            <w:r>
              <w:rPr>
                <w:rFonts w:ascii="Aptos" w:hAnsi="Aptos"/>
                <w:b w:val="0"/>
                <w:sz w:val="14"/>
              </w:rPr>
              <w:t>$9.89 → $9.91</w:t>
              <w:br/>
              <w:t>(+ $0.02)</w:t>
            </w:r>
          </w:p>
        </w:tc>
        <w:tc>
          <w:tcPr>
            <w:tcW w:type="dxa" w:w="1181"/>
            <w:vAlign w:val="center"/>
            <w:shd w:fill="EAF2F6"/>
          </w:tcPr>
          <w:p>
            <w:pPr>
              <w:spacing w:after="0"/>
            </w:pPr>
            <w:r/>
            <w:r>
              <w:rPr>
                <w:rFonts w:ascii="Aptos" w:hAnsi="Aptos"/>
                <w:b w:val="0"/>
                <w:sz w:val="14"/>
              </w:rPr>
              <w:t>88 → 88</w:t>
            </w:r>
          </w:p>
        </w:tc>
        <w:tc>
          <w:tcPr>
            <w:tcW w:type="dxa" w:w="2448"/>
            <w:vAlign w:val="center"/>
            <w:shd w:fill="EAF2F6"/>
          </w:tcPr>
          <w:p>
            <w:pPr>
              <w:spacing w:after="0"/>
            </w:pPr>
            <w:r/>
            <w:r>
              <w:rPr>
                <w:rFonts w:ascii="Aptos" w:hAnsi="Aptos"/>
                <w:b w:val="0"/>
                <w:sz w:val="14"/>
              </w:rPr>
              <w:t>No contractual expansion area or option; no practical 13th dock on offered parcel.</w:t>
            </w:r>
          </w:p>
        </w:tc>
      </w:tr>
      <w:tr>
        <w:tc>
          <w:tcPr>
            <w:tcW w:type="dxa" w:w="2232"/>
            <w:vAlign w:val="center"/>
          </w:tcPr>
          <w:p>
            <w:pPr>
              <w:spacing w:after="0"/>
            </w:pPr>
            <w:r/>
            <w:r>
              <w:rPr>
                <w:rFonts w:ascii="Aptos" w:hAnsi="Aptos"/>
                <w:b/>
                <w:sz w:val="14"/>
              </w:rPr>
              <w:t>960 Canal Foundry Road</w:t>
              <w:br/>
              <w:t>Canal Foundry</w:t>
            </w:r>
          </w:p>
        </w:tc>
        <w:tc>
          <w:tcPr>
            <w:tcW w:type="dxa" w:w="893"/>
            <w:vAlign w:val="center"/>
          </w:tcPr>
          <w:p>
            <w:pPr>
              <w:spacing w:after="0"/>
            </w:pPr>
            <w:r/>
            <w:r>
              <w:rPr>
                <w:rFonts w:ascii="Aptos" w:hAnsi="Aptos"/>
                <w:b w:val="0"/>
                <w:sz w:val="14"/>
              </w:rPr>
              <w:t>31,400</w:t>
            </w:r>
          </w:p>
        </w:tc>
        <w:tc>
          <w:tcPr>
            <w:tcW w:type="dxa" w:w="893"/>
            <w:vAlign w:val="center"/>
          </w:tcPr>
          <w:p>
            <w:pPr>
              <w:spacing w:after="0"/>
            </w:pPr>
            <w:r/>
            <w:r>
              <w:rPr>
                <w:rFonts w:ascii="Aptos" w:hAnsi="Aptos"/>
                <w:b w:val="0"/>
                <w:sz w:val="14"/>
              </w:rPr>
              <w:t>28</w:t>
            </w:r>
          </w:p>
        </w:tc>
        <w:tc>
          <w:tcPr>
            <w:tcW w:type="dxa" w:w="806"/>
            <w:vAlign w:val="center"/>
          </w:tcPr>
          <w:p>
            <w:pPr>
              <w:spacing w:after="0"/>
            </w:pPr>
            <w:r/>
            <w:r>
              <w:rPr>
                <w:rFonts w:ascii="Aptos" w:hAnsi="Aptos"/>
                <w:b w:val="0"/>
                <w:sz w:val="14"/>
              </w:rPr>
              <w:t>10</w:t>
            </w:r>
          </w:p>
        </w:tc>
        <w:tc>
          <w:tcPr>
            <w:tcW w:type="dxa" w:w="806"/>
            <w:vAlign w:val="center"/>
          </w:tcPr>
          <w:p>
            <w:pPr>
              <w:spacing w:after="0"/>
            </w:pPr>
            <w:r/>
            <w:r>
              <w:rPr>
                <w:rFonts w:ascii="Aptos" w:hAnsi="Aptos"/>
                <w:b w:val="0"/>
                <w:sz w:val="14"/>
              </w:rPr>
              <w:t>Jan 1</w:t>
            </w:r>
          </w:p>
        </w:tc>
        <w:tc>
          <w:tcPr>
            <w:tcW w:type="dxa" w:w="1181"/>
            <w:vAlign w:val="center"/>
          </w:tcPr>
          <w:p>
            <w:pPr>
              <w:spacing w:after="0"/>
            </w:pPr>
            <w:r/>
            <w:r>
              <w:rPr>
                <w:rFonts w:ascii="Aptos" w:hAnsi="Aptos"/>
                <w:b w:val="0"/>
                <w:sz w:val="14"/>
              </w:rPr>
              <w:t>$9.62 → $10.18</w:t>
              <w:br/>
              <w:t>(+ $0.56)</w:t>
            </w:r>
          </w:p>
        </w:tc>
        <w:tc>
          <w:tcPr>
            <w:tcW w:type="dxa" w:w="1181"/>
            <w:vAlign w:val="center"/>
          </w:tcPr>
          <w:p>
            <w:pPr>
              <w:spacing w:after="0"/>
            </w:pPr>
            <w:r/>
            <w:r>
              <w:rPr>
                <w:rFonts w:ascii="Aptos" w:hAnsi="Aptos"/>
                <w:b w:val="0"/>
                <w:sz w:val="14"/>
              </w:rPr>
              <w:t>84 → 80</w:t>
            </w:r>
          </w:p>
        </w:tc>
        <w:tc>
          <w:tcPr>
            <w:tcW w:type="dxa" w:w="2448"/>
            <w:vAlign w:val="center"/>
          </w:tcPr>
          <w:p>
            <w:pPr>
              <w:spacing w:after="0"/>
            </w:pPr>
            <w:r/>
            <w:r>
              <w:rPr>
                <w:rFonts w:ascii="Aptos" w:hAnsi="Aptos"/>
                <w:b w:val="0"/>
                <w:sz w:val="14"/>
              </w:rPr>
              <w:t>Parcel cannot expand; no controlled path beyond ten docks.</w:t>
            </w:r>
          </w:p>
        </w:tc>
      </w:tr>
    </w:tbl>
    <w:p>
      <w:pPr>
        <w:spacing w:before="40" w:after="60"/>
      </w:pPr>
      <w:r>
        <w:rPr>
          <w:b/>
        </w:rPr>
        <w:t xml:space="preserve">What changed: </w:t>
      </w:r>
      <w:r>
        <w:t>Alloy rose $0.12 per sf and lost one score point; Flint moved only $0.02 per sf and held 88. Canal's $0.56 per sf increase followed withdrawal of part of its improvement allowance and its score fell four points. In September, Alloy and Flint are tied on the scored rent and clearance dimensions (19/20 rent; 18/20 clearance), so the model cannot decide between them. Canal's movement is the material rent change, not a peer movement.</w:t>
      </w:r>
    </w:p>
    <w:p>
      <w:pPr>
        <w:spacing w:before="120" w:after="40"/>
      </w:pPr>
      <w:r>
        <w:rPr>
          <w:b/>
          <w:color w:val="1F435C"/>
          <w:sz w:val="18"/>
        </w:rPr>
        <w:t>CAPACITY, TIMING AND COUNTERPARTY JUDGMENT</w:t>
      </w:r>
    </w:p>
    <w:p>
      <w:r>
        <w:rPr>
          <w:b/>
        </w:rPr>
        <w:t xml:space="preserve">Capacity is not interchangeable with a future right. </w:t>
      </w:r>
      <w:r>
        <w:t>At possession, Flint's twelve docks and Canal's ten meet the initial requirement of ten; Alloy's eight are short by two. At month 18, the requirement is thirteen: Flint is short one, Canal is short three, while Alloy would reach fourteen only if all six proposed docks are actually completed. Alloy's expansion election expires December 15 and the owner states completion by April 30, so it is not opening-day capacity and remains an unverified delivery commitment.</w:t>
      </w:r>
    </w:p>
    <w:p>
      <w:r>
        <w:rPr>
          <w:b/>
        </w:rPr>
        <w:t xml:space="preserve">Alloy also carries a funding and counterparty stack the score omits. </w:t>
      </w:r>
      <w:r>
        <w:t>The current proposal requires a $420,000 tenant advance and offers $300,000 reimbursement after completion, leaving $120,000 unreimbursed on the stated amounts and exceeding Dunmarrow's $300,000 pre-opening cash limit by $120,000. Reimbursement is exposure to a single-purpose landlord entity formed for the acquisition; no parent guaranty is offered. Its ownership chart, signing authority, lender-consent position and financial support package remain pending. Flint's delivered materials support present transaction certainty, but audited statements are evidence, not a guaranty or an unconditional obligation to fund work.</w:t>
      </w:r>
    </w:p>
    <w:p>
      <w:r>
        <w:rPr>
          <w:b/>
        </w:rPr>
        <w:t xml:space="preserve">Model omissions that matter here: </w:t>
      </w:r>
      <w:r>
        <w:t>landlord credit/funding reliability; enforceability and durability of a future dock right; and the operational consequence of missing the month-18 requirement. These are why the 87/88 scores do not substitute for broker judgment.</w:t>
      </w:r>
    </w:p>
    <w:p>
      <w:pPr>
        <w:spacing w:before="120" w:after="40"/>
      </w:pPr>
      <w:r>
        <w:rPr>
          <w:b/>
          <w:color w:val="1F435C"/>
          <w:sz w:val="18"/>
        </w:rPr>
        <w:t>REQUESTED LOI GUARDRAILS AND EXECUTABLE PATH</w:t>
      </w:r>
    </w:p>
    <w:p>
      <w:pPr>
        <w:pStyle w:val="ListBullet"/>
        <w:spacing w:after="40"/>
        <w:ind w:left="259" w:hanging="173"/>
      </w:pPr>
      <w:r>
        <w:t>Issue one site-specific, expressly non-binding LOI for 2750 Flint Commerce Drive, with a defined negotiation/exclusivity period so the recommendation remains usable while diligence proceeds. No parallel LOI or ranking exercise.</w:t>
      </w:r>
    </w:p>
    <w:p>
      <w:pPr>
        <w:pStyle w:val="ListBullet"/>
        <w:spacing w:after="40"/>
        <w:ind w:left="259" w:hanging="173"/>
      </w:pPr>
      <w:r>
        <w:t>State the February 1 possession target, ten-year term and business terms as subject to a mutually executed lease, committee reapproval and counsel review. The LOI must preserve withdrawal if agreed business terms or material diligence are not satisfied.</w:t>
      </w:r>
    </w:p>
    <w:p>
      <w:pPr>
        <w:pStyle w:val="ListBullet"/>
        <w:spacing w:after="40"/>
        <w:ind w:left="259" w:hanging="173"/>
      </w:pPr>
      <w:r>
        <w:t>Record the known capacity condition: twelve existing docks meet opening need, but the property has no controlled path to a thirteenth dock. Assign the operating team to resolve the one-dock month-18 gap; do not represent adjacent land as available or committed.</w:t>
      </w:r>
    </w:p>
    <w:p>
      <w:pPr>
        <w:pStyle w:val="ListBullet"/>
        <w:spacing w:after="40"/>
        <w:ind w:left="259" w:hanging="173"/>
      </w:pPr>
      <w:r>
        <w:t>Before lease execution, broker and legal must verify ownership and signing authority, title, environmental condition, zoning/permitted use, physical condition, insurance requirements and the written no-lender-consent position. Treat Flint's delivered ownership chart, audited statements and consent confirmation as received evidence subject to final verification, not as waivers.</w:t>
      </w:r>
    </w:p>
    <w:p>
      <w:pPr>
        <w:pStyle w:val="ListBullet"/>
        <w:spacing w:after="40"/>
        <w:ind w:left="259" w:hanging="173"/>
      </w:pPr>
      <w:r>
        <w:t>If any critical item is still unavailable at the September 12 materials cutoff, the committee may still authorize the conditional LOI on these guardrails. Theo will obtain the missing item with the landlord; legal will confirm authority and diligence status. If unresolved by lease approval, Dunmarrow does not sign and the committee reconsiders the site; the September 18 authorization itself does not bind Dunmarrow.</w:t>
      </w:r>
    </w:p>
    <w:p>
      <w:pPr>
        <w:spacing w:before="120" w:after="40"/>
      </w:pPr>
      <w:r>
        <w:rPr>
          <w:b/>
          <w:color w:val="1F435C"/>
          <w:sz w:val="18"/>
        </w:rPr>
        <w:t>COMMITTEE ACTION</w:t>
      </w:r>
    </w:p>
    <w:p>
      <w:pPr>
        <w:spacing w:after="0"/>
      </w:pPr>
      <w:r>
        <w:rPr>
          <w:b/>
        </w:rPr>
        <w:t xml:space="preserve">Approve the single requested action: </w:t>
      </w:r>
      <w:r>
        <w:t>authorize Theo Ferreira to issue and negotiate the conditional, non-binding LOI for 2750 Flint Commerce Drive under the guardrails above. This resolves the September decision while keeping lease execution, diligence satisfaction and final approval as separate later gates.</w:t>
      </w:r>
    </w:p>
    <w:sectPr w:rsidR="00FC693F" w:rsidRPr="0006063C" w:rsidSect="00034616">
      <w:headerReference w:type="default" r:id="rId9"/>
      <w:footerReference w:type="default" r:id="rId10"/>
      <w:pgSz w:w="12240" w:h="15840"/>
      <w:pgMar w:top="749" w:right="893" w:bottom="691" w:left="893"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464"/>
        <w:sz w:val="15"/>
      </w:rPr>
      <w:t>Prepared by Theo Ferreira  •  September 2026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C6670"/>
        <w:sz w:val="15"/>
      </w:rPr>
      <w:t>DUNMARROW SUPPLY  |  REAL ESTATE DECISION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