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Diligence note — Slateford Engineering</w:t>
      </w:r>
    </w:p>
    <w:p>
      <w:r>
        <w:t>Sasha Ellingsen | 06/14/2026 | Reference call concerning Sandpiper Consortium</w:t>
      </w:r>
    </w:p>
    <w:p>
      <w:r>
        <w:t>Sasha Ellingsen, formerly Sandpiper Consortium’s compliance systems manager, stated from first-hand involvement that Slateford Engineering led the 2023 implementation of HarborSignal at Sandpiper. The scheduled August control-milestone acceptance was missed; three configured routing controls had not been evidenced. Two Slateford configuration leads left during the build, and Sandpiper received a succession of replacement leads.</w:t>
      </w:r>
    </w:p>
    <w:p>
      <w:r>
        <w:t>Sasha stated that the controls were remediated and accepted in November 2023, approximately three months after the planned milestone. Sandpiper went live in January 2024 after a staged remediation. Sasha did not report a failed go-live or a continuing platform defect; she characterized the issue as delivery governance and staffing continuity. A former Sandpiper procurement colleague, relayed second-hand by Sasha, considered the weekly status reports incomplete during the delay.</w:t>
      </w:r>
    </w:p>
    <w:p>
      <w:r>
        <w:t>Slateford told Treasury during the proposal discussion that its delivery director and staffing process changed in 2024. That statement was not independently verified in this reference call. HarborSignal names Slateford Engineering as its implementation subcontractor; the other shortlisted proposals do not name Slateford.</w:t>
      </w:r>
    </w:p>
    <w:p>
      <w:pPr>
        <w:pStyle w:val="Caption"/>
      </w:pPr>
      <w:r>
        <w:t>Prepared for diligence use. The call documents one prior engagement; it does not establish a probability that the same outcome will recur.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