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120" w:line="259" w:lineRule="auto"/>
      </w:pPr>
      <w:r>
        <w:t>Tidewater Works Inspection Training Instructor Guide</w:t>
      </w:r>
    </w:p>
    <w:p>
      <w:pPr>
        <w:pStyle w:val="Heading1"/>
      </w:pPr>
      <w:r>
        <w:t>Purpose and Use</w:t>
      </w:r>
    </w:p>
    <w:p>
      <w:pPr>
        <w:spacing w:after="120" w:line="259" w:lineRule="auto"/>
      </w:pPr>
      <w:r>
        <w:t>Use this guide to deliver the inspection-training session and to document an auditable competency decision. Keep fixed competency wording unchanged. Enter trainee, assessor, and review information only in the designated fields of the competency matrix.</w:t>
      </w:r>
    </w:p>
    <w:p>
      <w:pPr>
        <w:pStyle w:val="Heading1"/>
      </w:pPr>
      <w:r>
        <w:t>Inspection Training Overview</w:t>
      </w:r>
    </w:p>
    <w:p>
      <w:pPr>
        <w:spacing w:after="120" w:line="259" w:lineRule="auto"/>
      </w:pPr>
      <w:r>
        <w:t>The session follows a repeatable sequence: prepare the inspection area, observe the demonstration, capture objective evidence, compare evidence with the criteria, and record a result for each competency.</w:t>
      </w:r>
    </w:p>
    <w:p>
      <w:pPr>
        <w:pStyle w:val="Heading2"/>
      </w:pPr>
      <w:r>
        <w:t>Before the Demonstration</w:t>
      </w:r>
    </w:p>
    <w:p>
      <w:pPr>
        <w:spacing w:after="120" w:line="259" w:lineRule="auto"/>
      </w:pPr>
      <w:r>
        <w:t>Confirm the equipment identity and inspection materials. Explain that evidence must be specific enough for another reviewer to understand what was observed. Review the four result statuses before work begins.</w:t>
      </w:r>
    </w:p>
    <w:p>
      <w:pPr>
        <w:pStyle w:val="Heading2"/>
      </w:pPr>
      <w:r>
        <w:t>During the Demonstration</w:t>
      </w:r>
    </w:p>
    <w:p>
      <w:pPr>
        <w:spacing w:after="120" w:line="259" w:lineRule="auto"/>
      </w:pPr>
      <w:r>
        <w:t>Observe without coaching the demonstrated step unless an immediate safety concern requires intervention. Capture the condition, location, and supporting evidence. Use the same competency order in the matrix as in this guide.</w:t>
      </w:r>
    </w:p>
    <w:p>
      <w:r>
        <w:br w:type="page"/>
      </w:r>
    </w:p>
    <w:p>
      <w:pPr>
        <w:spacing w:after="120" w:line="259" w:lineRule="auto"/>
      </w:pPr>
      <w:r>
        <w:t>During delivery, the instructor keeps the observation record factual and concise. The assessor may pause the activity for a safety control, then resumes the same evidence sequence.</w:t>
      </w:r>
    </w:p>
    <w:p>
      <w:pPr>
        <w:jc w:val="center"/>
      </w:pPr>
      <w:r>
        <w:drawing>
          <wp:inline xmlns:a="http://schemas.openxmlformats.org/drawingml/2006/main" xmlns:pic="http://schemas.openxmlformats.org/drawingml/2006/picture">
            <wp:extent cx="6217920" cy="1139952"/>
            <wp:docPr id="1" name="Picture 1"/>
            <wp:cNvGraphicFramePr>
              <a:graphicFrameLocks noChangeAspect="1"/>
            </wp:cNvGraphicFramePr>
            <a:graphic>
              <a:graphicData uri="http://schemas.openxmlformats.org/drawingml/2006/picture">
                <pic:pic>
                  <pic:nvPicPr>
                    <pic:cNvPr id="0" name="flow1.png"/>
                    <pic:cNvPicPr/>
                  </pic:nvPicPr>
                  <pic:blipFill>
                    <a:blip r:embed="rId11"/>
                    <a:stretch>
                      <a:fillRect/>
                    </a:stretch>
                  </pic:blipFill>
                  <pic:spPr>
                    <a:xfrm>
                      <a:off x="0" y="0"/>
                      <a:ext cx="6217920" cy="1139952"/>
                    </a:xfrm>
                    <a:prstGeom prst="rect"/>
                  </pic:spPr>
                </pic:pic>
              </a:graphicData>
            </a:graphic>
          </wp:inline>
        </w:drawing>
      </w:r>
    </w:p>
    <w:p>
      <w:pPr>
        <w:jc w:val="center"/>
      </w:pPr>
      <w:r>
        <w:rPr>
          <w:i/>
          <w:sz w:val="16"/>
        </w:rPr>
        <w:t>Figure 1: Inspection evidence flow</w:t>
      </w:r>
    </w:p>
    <w:p>
      <w:pPr>
        <w:spacing w:after="120" w:line="259" w:lineRule="auto"/>
      </w:pPr>
      <w:r>
        <w:t>Evidence is useful when it is observable, tied to the inspection focus, and recorded at the time of the demonstration. Avoid inferring competence from a general impression.</w:t>
      </w:r>
    </w:p>
    <w:p>
      <w:pPr>
        <w:spacing w:after="120" w:line="259" w:lineRule="auto"/>
      </w:pPr>
      <w:r>
        <w:t>After the demonstration, review each row in order. A result describes the observed performance at the time of assessment; it does not replace the evidence note or the follow-up record.</w:t>
      </w:r>
    </w:p>
    <w:p>
      <w:r>
        <w:br w:type="page"/>
      </w:r>
    </w:p>
    <w:p>
      <w:pPr>
        <w:pStyle w:val="Heading1"/>
      </w:pPr>
      <w:r>
        <w:t>Evidence and Competency Review</w:t>
      </w:r>
    </w:p>
    <w:p>
      <w:pPr>
        <w:pStyle w:val="Heading2"/>
      </w:pPr>
      <w:r>
        <w:t>Recording an Assessment</w:t>
      </w:r>
    </w:p>
    <w:p>
      <w:pPr>
        <w:spacing w:after="120" w:line="259" w:lineRule="auto"/>
      </w:pPr>
      <w:r>
        <w:t>Enter the trainee name, assessor name, and assessment date before recording results. Select one of the matrix statuses: Not started, In progress, Competent, or Needs retraining. Leave a result blank until the related evidence has been reviewed.</w:t>
      </w:r>
    </w:p>
    <w:p>
      <w:pPr>
        <w:spacing w:after="120" w:line="259" w:lineRule="auto"/>
      </w:pPr>
      <w:r>
        <w:t>During review, the assessor enters reviewer initials and review date. The assessor also assigns the follow-up owner and due date when a row is not Competent. The completion rate, outstanding competencies, and overall readiness fields are calculated by the workbook and must not be typed.</w:t>
      </w:r>
    </w:p>
    <w:p>
      <w:pPr>
        <w:jc w:val="center"/>
      </w:pPr>
      <w:r>
        <w:drawing>
          <wp:inline xmlns:a="http://schemas.openxmlformats.org/drawingml/2006/main" xmlns:pic="http://schemas.openxmlformats.org/drawingml/2006/picture">
            <wp:extent cx="6217920" cy="1139952"/>
            <wp:docPr id="2" name="Picture 2"/>
            <wp:cNvGraphicFramePr>
              <a:graphicFrameLocks noChangeAspect="1"/>
            </wp:cNvGraphicFramePr>
            <a:graphic>
              <a:graphicData uri="http://schemas.openxmlformats.org/drawingml/2006/picture">
                <pic:pic>
                  <pic:nvPicPr>
                    <pic:cNvPr id="0" name="flow2.png"/>
                    <pic:cNvPicPr/>
                  </pic:nvPicPr>
                  <pic:blipFill>
                    <a:blip r:embed="rId12"/>
                    <a:stretch>
                      <a:fillRect/>
                    </a:stretch>
                  </pic:blipFill>
                  <pic:spPr>
                    <a:xfrm>
                      <a:off x="0" y="0"/>
                      <a:ext cx="6217920" cy="1139952"/>
                    </a:xfrm>
                    <a:prstGeom prst="rect"/>
                  </pic:spPr>
                </pic:pic>
              </a:graphicData>
            </a:graphic>
          </wp:inline>
        </w:drawing>
      </w:r>
    </w:p>
    <w:p>
      <w:pPr>
        <w:jc w:val="center"/>
      </w:pPr>
      <w:r>
        <w:rPr>
          <w:i/>
          <w:sz w:val="16"/>
        </w:rPr>
        <w:t>Figure 2: Competency decision path</w:t>
      </w:r>
    </w:p>
    <w:p>
      <w:pPr>
        <w:spacing w:after="120" w:line="259" w:lineRule="auto"/>
      </w:pPr>
      <w:r>
        <w:t>Use the same status vocabulary in any spoken debrief and in the matrix. If evidence is incomplete, keep the result at Not started or In progress until the assessor can support a decision.</w:t>
      </w:r>
    </w:p>
    <w:p>
      <w:r>
        <w:br w:type="page"/>
      </w:r>
    </w:p>
    <w:p>
      <w:pPr>
        <w:pStyle w:val="Heading1"/>
      </w:pPr>
      <w:r>
        <w:t>Escalation and Follow-up</w:t>
      </w:r>
    </w:p>
    <w:p>
      <w:pPr>
        <w:spacing w:after="120" w:line="259" w:lineRule="auto"/>
      </w:pPr>
      <w:r>
        <w:t>When a defect or performance gap requires action, record the condition and assign the follow-up owner during review. Set a due date that can be audited. Items marked Needs retraining remain outstanding until a later assessment records Competent.</w:t>
      </w:r>
    </w:p>
    <w:p>
      <w:pPr>
        <w:pStyle w:val="Heading2"/>
      </w:pPr>
      <w:r>
        <w:t>Competency Matrix</w:t>
      </w:r>
    </w:p>
    <w:tbl>
      <w:tblPr>
        <w:tblStyle w:val="TableGrid"/>
        <w:tblW w:type="auto" w:w="0"/>
        <w:jc w:val="center"/>
        <w:tblLayout w:type="fixed"/>
        <w:tblLook w:firstColumn="1" w:firstRow="1" w:lastColumn="0" w:lastRow="0" w:noHBand="0" w:noVBand="1" w:val="04A0"/>
      </w:tblPr>
      <w:tblGrid>
        <w:gridCol w:w="1296"/>
        <w:gridCol w:w="1296"/>
        <w:gridCol w:w="1296"/>
        <w:gridCol w:w="1296"/>
        <w:gridCol w:w="1296"/>
        <w:gridCol w:w="1296"/>
        <w:gridCol w:w="1296"/>
        <w:gridCol w:w="1296"/>
      </w:tblGrid>
      <w:tr>
        <w:trPr>
          <w:tblHeader w:val="true"/>
        </w:trPr>
        <w:tc>
          <w:tcPr>
            <w:tcW w:type="dxa" w:w="893"/>
            <w:vAlign w:val="center"/>
            <w:shd w:fill="2F5D6B"/>
          </w:tcPr>
          <w:p>
            <w:r>
              <w:rPr>
                <w:b/>
                <w:color w:val="FFFFFF"/>
                <w:sz w:val="13"/>
              </w:rPr>
              <w:t>Competency ID</w:t>
            </w:r>
          </w:p>
        </w:tc>
        <w:tc>
          <w:tcPr>
            <w:tcW w:type="dxa" w:w="1613"/>
            <w:vAlign w:val="center"/>
            <w:shd w:fill="2F5D6B"/>
          </w:tcPr>
          <w:p>
            <w:r>
              <w:rPr>
                <w:b/>
                <w:color w:val="FFFFFF"/>
                <w:sz w:val="13"/>
              </w:rPr>
              <w:t>Inspection focus</w:t>
            </w:r>
          </w:p>
        </w:tc>
        <w:tc>
          <w:tcPr>
            <w:tcW w:type="dxa" w:w="2232"/>
            <w:vAlign w:val="center"/>
            <w:shd w:fill="2F5D6B"/>
          </w:tcPr>
          <w:p>
            <w:r>
              <w:rPr>
                <w:b/>
                <w:color w:val="FFFFFF"/>
                <w:sz w:val="13"/>
              </w:rPr>
              <w:t>Evidence expected</w:t>
            </w:r>
          </w:p>
        </w:tc>
        <w:tc>
          <w:tcPr>
            <w:tcW w:type="dxa" w:w="907"/>
            <w:vAlign w:val="center"/>
            <w:shd w:fill="2F5D6B"/>
          </w:tcPr>
          <w:p>
            <w:r>
              <w:rPr>
                <w:b/>
                <w:color w:val="FFFFFF"/>
                <w:sz w:val="13"/>
              </w:rPr>
              <w:t>Result</w:t>
            </w:r>
          </w:p>
        </w:tc>
        <w:tc>
          <w:tcPr>
            <w:tcW w:type="dxa" w:w="1094"/>
            <w:vAlign w:val="center"/>
            <w:shd w:fill="2F5D6B"/>
          </w:tcPr>
          <w:p>
            <w:r>
              <w:rPr>
                <w:b/>
                <w:color w:val="FFFFFF"/>
                <w:sz w:val="13"/>
              </w:rPr>
              <w:t>Reviewer initials</w:t>
            </w:r>
          </w:p>
        </w:tc>
        <w:tc>
          <w:tcPr>
            <w:tcW w:type="dxa" w:w="1008"/>
            <w:vAlign w:val="center"/>
            <w:shd w:fill="2F5D6B"/>
          </w:tcPr>
          <w:p>
            <w:r>
              <w:rPr>
                <w:b/>
                <w:color w:val="FFFFFF"/>
                <w:sz w:val="13"/>
              </w:rPr>
              <w:t>Review date</w:t>
            </w:r>
          </w:p>
        </w:tc>
        <w:tc>
          <w:tcPr>
            <w:tcW w:type="dxa" w:w="1296"/>
            <w:vAlign w:val="center"/>
            <w:shd w:fill="2F5D6B"/>
          </w:tcPr>
          <w:p>
            <w:r>
              <w:rPr>
                <w:b/>
                <w:color w:val="FFFFFF"/>
                <w:sz w:val="13"/>
              </w:rPr>
              <w:t>Follow-up owner</w:t>
            </w:r>
          </w:p>
        </w:tc>
        <w:tc>
          <w:tcPr>
            <w:tcW w:type="dxa" w:w="1181"/>
            <w:vAlign w:val="center"/>
            <w:shd w:fill="2F5D6B"/>
          </w:tcPr>
          <w:p>
            <w:r>
              <w:rPr>
                <w:b/>
                <w:color w:val="FFFFFF"/>
                <w:sz w:val="13"/>
              </w:rPr>
              <w:t>Follow-up due</w:t>
            </w:r>
          </w:p>
        </w:tc>
      </w:tr>
      <w:tr>
        <w:tc>
          <w:tcPr>
            <w:tcW w:type="dxa" w:w="893"/>
            <w:vAlign w:val="center"/>
          </w:tcPr>
          <w:p>
            <w:pPr>
              <w:spacing w:after="0"/>
            </w:pPr>
            <w:r>
              <w:rPr>
                <w:sz w:val="12"/>
              </w:rPr>
              <w:t>IT-01</w:t>
            </w:r>
          </w:p>
        </w:tc>
        <w:tc>
          <w:tcPr>
            <w:tcW w:type="dxa" w:w="1613"/>
            <w:vAlign w:val="center"/>
          </w:tcPr>
          <w:p>
            <w:pPr>
              <w:spacing w:after="0"/>
            </w:pPr>
            <w:r>
              <w:rPr>
                <w:sz w:val="12"/>
              </w:rPr>
              <w:t>Verify equipment identity and service label</w:t>
            </w:r>
          </w:p>
        </w:tc>
        <w:tc>
          <w:tcPr>
            <w:tcW w:type="dxa" w:w="2232"/>
            <w:vAlign w:val="center"/>
          </w:tcPr>
          <w:p>
            <w:pPr>
              <w:spacing w:after="0"/>
            </w:pPr>
            <w:r>
              <w:rPr>
                <w:sz w:val="12"/>
              </w:rPr>
              <w:t>Matches work order; label is legible and current</w:t>
            </w:r>
          </w:p>
        </w:tc>
        <w:tc>
          <w:tcPr>
            <w:tcW w:type="dxa" w:w="907"/>
            <w:vAlign w:val="center"/>
            <w:shd w:fill="FFFDF1"/>
          </w:tcPr>
          <w:p>
            <w:pPr>
              <w:spacing w:after="0"/>
            </w:pPr>
            <w:r>
              <w:rPr>
                <w:sz w:val="12"/>
              </w:rPr>
            </w:r>
          </w:p>
        </w:tc>
        <w:tc>
          <w:tcPr>
            <w:tcW w:type="dxa" w:w="1094"/>
            <w:vAlign w:val="center"/>
            <w:shd w:fill="FFFDF1"/>
          </w:tcPr>
          <w:p>
            <w:pPr>
              <w:spacing w:after="0"/>
            </w:pPr>
            <w:r>
              <w:rPr>
                <w:sz w:val="12"/>
              </w:rPr>
            </w:r>
          </w:p>
        </w:tc>
        <w:tc>
          <w:tcPr>
            <w:tcW w:type="dxa" w:w="1008"/>
            <w:vAlign w:val="center"/>
            <w:shd w:fill="FFFDF1"/>
          </w:tcPr>
          <w:p>
            <w:pPr>
              <w:spacing w:after="0"/>
            </w:pPr>
            <w:r>
              <w:rPr>
                <w:sz w:val="12"/>
              </w:rPr>
            </w:r>
          </w:p>
        </w:tc>
        <w:tc>
          <w:tcPr>
            <w:tcW w:type="dxa" w:w="1296"/>
            <w:vAlign w:val="center"/>
            <w:shd w:fill="FFFDF1"/>
          </w:tcPr>
          <w:p>
            <w:pPr>
              <w:spacing w:after="0"/>
            </w:pPr>
            <w:r>
              <w:rPr>
                <w:sz w:val="12"/>
              </w:rPr>
            </w:r>
          </w:p>
        </w:tc>
        <w:tc>
          <w:tcPr>
            <w:tcW w:type="dxa" w:w="1181"/>
            <w:vAlign w:val="center"/>
            <w:shd w:fill="FFFDF1"/>
          </w:tcPr>
          <w:p>
            <w:pPr>
              <w:spacing w:after="0"/>
            </w:pPr>
            <w:r>
              <w:rPr>
                <w:sz w:val="12"/>
              </w:rPr>
            </w:r>
          </w:p>
        </w:tc>
      </w:tr>
      <w:tr>
        <w:tc>
          <w:tcPr>
            <w:tcW w:type="dxa" w:w="893"/>
            <w:vAlign w:val="center"/>
          </w:tcPr>
          <w:p>
            <w:pPr>
              <w:spacing w:after="0"/>
            </w:pPr>
            <w:r>
              <w:rPr>
                <w:sz w:val="12"/>
              </w:rPr>
              <w:t>IT-02</w:t>
            </w:r>
          </w:p>
        </w:tc>
        <w:tc>
          <w:tcPr>
            <w:tcW w:type="dxa" w:w="1613"/>
            <w:vAlign w:val="center"/>
          </w:tcPr>
          <w:p>
            <w:pPr>
              <w:spacing w:after="0"/>
            </w:pPr>
            <w:r>
              <w:rPr>
                <w:sz w:val="12"/>
              </w:rPr>
              <w:t>Check housing, seams, and fasteners</w:t>
            </w:r>
          </w:p>
        </w:tc>
        <w:tc>
          <w:tcPr>
            <w:tcW w:type="dxa" w:w="2232"/>
            <w:vAlign w:val="center"/>
          </w:tcPr>
          <w:p>
            <w:pPr>
              <w:spacing w:after="0"/>
            </w:pPr>
            <w:r>
              <w:rPr>
                <w:sz w:val="12"/>
              </w:rPr>
              <w:t>No cracks, loose stitching, or missing hardware</w:t>
            </w:r>
          </w:p>
        </w:tc>
        <w:tc>
          <w:tcPr>
            <w:tcW w:type="dxa" w:w="907"/>
            <w:vAlign w:val="center"/>
            <w:shd w:fill="FFFDF1"/>
          </w:tcPr>
          <w:p>
            <w:pPr>
              <w:spacing w:after="0"/>
            </w:pPr>
            <w:r>
              <w:rPr>
                <w:sz w:val="12"/>
              </w:rPr>
            </w:r>
          </w:p>
        </w:tc>
        <w:tc>
          <w:tcPr>
            <w:tcW w:type="dxa" w:w="1094"/>
            <w:vAlign w:val="center"/>
            <w:shd w:fill="FFFDF1"/>
          </w:tcPr>
          <w:p>
            <w:pPr>
              <w:spacing w:after="0"/>
            </w:pPr>
            <w:r>
              <w:rPr>
                <w:sz w:val="12"/>
              </w:rPr>
            </w:r>
          </w:p>
        </w:tc>
        <w:tc>
          <w:tcPr>
            <w:tcW w:type="dxa" w:w="1008"/>
            <w:vAlign w:val="center"/>
            <w:shd w:fill="FFFDF1"/>
          </w:tcPr>
          <w:p>
            <w:pPr>
              <w:spacing w:after="0"/>
            </w:pPr>
            <w:r>
              <w:rPr>
                <w:sz w:val="12"/>
              </w:rPr>
            </w:r>
          </w:p>
        </w:tc>
        <w:tc>
          <w:tcPr>
            <w:tcW w:type="dxa" w:w="1296"/>
            <w:vAlign w:val="center"/>
            <w:shd w:fill="FFFDF1"/>
          </w:tcPr>
          <w:p>
            <w:pPr>
              <w:spacing w:after="0"/>
            </w:pPr>
            <w:r>
              <w:rPr>
                <w:sz w:val="12"/>
              </w:rPr>
            </w:r>
          </w:p>
        </w:tc>
        <w:tc>
          <w:tcPr>
            <w:tcW w:type="dxa" w:w="1181"/>
            <w:vAlign w:val="center"/>
            <w:shd w:fill="FFFDF1"/>
          </w:tcPr>
          <w:p>
            <w:pPr>
              <w:spacing w:after="0"/>
            </w:pPr>
            <w:r>
              <w:rPr>
                <w:sz w:val="12"/>
              </w:rPr>
            </w:r>
          </w:p>
        </w:tc>
      </w:tr>
      <w:tr>
        <w:tc>
          <w:tcPr>
            <w:tcW w:type="dxa" w:w="893"/>
            <w:vAlign w:val="center"/>
          </w:tcPr>
          <w:p>
            <w:pPr>
              <w:spacing w:after="0"/>
            </w:pPr>
            <w:r>
              <w:rPr>
                <w:sz w:val="12"/>
              </w:rPr>
              <w:t>IT-03</w:t>
            </w:r>
          </w:p>
        </w:tc>
        <w:tc>
          <w:tcPr>
            <w:tcW w:type="dxa" w:w="1613"/>
            <w:vAlign w:val="center"/>
          </w:tcPr>
          <w:p>
            <w:pPr>
              <w:spacing w:after="0"/>
            </w:pPr>
            <w:r>
              <w:rPr>
                <w:sz w:val="12"/>
              </w:rPr>
              <w:t>Inspect straps, webbing, and adjustment points</w:t>
            </w:r>
          </w:p>
        </w:tc>
        <w:tc>
          <w:tcPr>
            <w:tcW w:type="dxa" w:w="2232"/>
            <w:vAlign w:val="center"/>
          </w:tcPr>
          <w:p>
            <w:pPr>
              <w:spacing w:after="0"/>
            </w:pPr>
            <w:r>
              <w:rPr>
                <w:sz w:val="12"/>
              </w:rPr>
              <w:t>Webbing is intact; adjustments move and lock</w:t>
            </w:r>
          </w:p>
        </w:tc>
        <w:tc>
          <w:tcPr>
            <w:tcW w:type="dxa" w:w="907"/>
            <w:vAlign w:val="center"/>
            <w:shd w:fill="FFFDF1"/>
          </w:tcPr>
          <w:p>
            <w:pPr>
              <w:spacing w:after="0"/>
            </w:pPr>
            <w:r>
              <w:rPr>
                <w:sz w:val="12"/>
              </w:rPr>
            </w:r>
          </w:p>
        </w:tc>
        <w:tc>
          <w:tcPr>
            <w:tcW w:type="dxa" w:w="1094"/>
            <w:vAlign w:val="center"/>
            <w:shd w:fill="FFFDF1"/>
          </w:tcPr>
          <w:p>
            <w:pPr>
              <w:spacing w:after="0"/>
            </w:pPr>
            <w:r>
              <w:rPr>
                <w:sz w:val="12"/>
              </w:rPr>
            </w:r>
          </w:p>
        </w:tc>
        <w:tc>
          <w:tcPr>
            <w:tcW w:type="dxa" w:w="1008"/>
            <w:vAlign w:val="center"/>
            <w:shd w:fill="FFFDF1"/>
          </w:tcPr>
          <w:p>
            <w:pPr>
              <w:spacing w:after="0"/>
            </w:pPr>
            <w:r>
              <w:rPr>
                <w:sz w:val="12"/>
              </w:rPr>
            </w:r>
          </w:p>
        </w:tc>
        <w:tc>
          <w:tcPr>
            <w:tcW w:type="dxa" w:w="1296"/>
            <w:vAlign w:val="center"/>
            <w:shd w:fill="FFFDF1"/>
          </w:tcPr>
          <w:p>
            <w:pPr>
              <w:spacing w:after="0"/>
            </w:pPr>
            <w:r>
              <w:rPr>
                <w:sz w:val="12"/>
              </w:rPr>
            </w:r>
          </w:p>
        </w:tc>
        <w:tc>
          <w:tcPr>
            <w:tcW w:type="dxa" w:w="1181"/>
            <w:vAlign w:val="center"/>
            <w:shd w:fill="FFFDF1"/>
          </w:tcPr>
          <w:p>
            <w:pPr>
              <w:spacing w:after="0"/>
            </w:pPr>
            <w:r>
              <w:rPr>
                <w:sz w:val="12"/>
              </w:rPr>
            </w:r>
          </w:p>
        </w:tc>
      </w:tr>
      <w:tr>
        <w:tc>
          <w:tcPr>
            <w:tcW w:type="dxa" w:w="893"/>
            <w:vAlign w:val="center"/>
          </w:tcPr>
          <w:p>
            <w:pPr>
              <w:spacing w:after="0"/>
            </w:pPr>
            <w:r>
              <w:rPr>
                <w:sz w:val="12"/>
              </w:rPr>
              <w:t>IT-04</w:t>
            </w:r>
          </w:p>
        </w:tc>
        <w:tc>
          <w:tcPr>
            <w:tcW w:type="dxa" w:w="1613"/>
            <w:vAlign w:val="center"/>
          </w:tcPr>
          <w:p>
            <w:pPr>
              <w:spacing w:after="0"/>
            </w:pPr>
            <w:r>
              <w:rPr>
                <w:sz w:val="12"/>
              </w:rPr>
              <w:t>Examine connectors, hooks, and latches</w:t>
            </w:r>
          </w:p>
        </w:tc>
        <w:tc>
          <w:tcPr>
            <w:tcW w:type="dxa" w:w="2232"/>
            <w:vAlign w:val="center"/>
          </w:tcPr>
          <w:p>
            <w:pPr>
              <w:spacing w:after="0"/>
            </w:pPr>
            <w:r>
              <w:rPr>
                <w:sz w:val="12"/>
              </w:rPr>
              <w:t>Connectors close fully and show no deformation</w:t>
            </w:r>
          </w:p>
        </w:tc>
        <w:tc>
          <w:tcPr>
            <w:tcW w:type="dxa" w:w="907"/>
            <w:vAlign w:val="center"/>
            <w:shd w:fill="FFFDF1"/>
          </w:tcPr>
          <w:p>
            <w:pPr>
              <w:spacing w:after="0"/>
            </w:pPr>
            <w:r>
              <w:rPr>
                <w:sz w:val="12"/>
              </w:rPr>
            </w:r>
          </w:p>
        </w:tc>
        <w:tc>
          <w:tcPr>
            <w:tcW w:type="dxa" w:w="1094"/>
            <w:vAlign w:val="center"/>
            <w:shd w:fill="FFFDF1"/>
          </w:tcPr>
          <w:p>
            <w:pPr>
              <w:spacing w:after="0"/>
            </w:pPr>
            <w:r>
              <w:rPr>
                <w:sz w:val="12"/>
              </w:rPr>
            </w:r>
          </w:p>
        </w:tc>
        <w:tc>
          <w:tcPr>
            <w:tcW w:type="dxa" w:w="1008"/>
            <w:vAlign w:val="center"/>
            <w:shd w:fill="FFFDF1"/>
          </w:tcPr>
          <w:p>
            <w:pPr>
              <w:spacing w:after="0"/>
            </w:pPr>
            <w:r>
              <w:rPr>
                <w:sz w:val="12"/>
              </w:rPr>
            </w:r>
          </w:p>
        </w:tc>
        <w:tc>
          <w:tcPr>
            <w:tcW w:type="dxa" w:w="1296"/>
            <w:vAlign w:val="center"/>
            <w:shd w:fill="FFFDF1"/>
          </w:tcPr>
          <w:p>
            <w:pPr>
              <w:spacing w:after="0"/>
            </w:pPr>
            <w:r>
              <w:rPr>
                <w:sz w:val="12"/>
              </w:rPr>
            </w:r>
          </w:p>
        </w:tc>
        <w:tc>
          <w:tcPr>
            <w:tcW w:type="dxa" w:w="1181"/>
            <w:vAlign w:val="center"/>
            <w:shd w:fill="FFFDF1"/>
          </w:tcPr>
          <w:p>
            <w:pPr>
              <w:spacing w:after="0"/>
            </w:pPr>
            <w:r>
              <w:rPr>
                <w:sz w:val="12"/>
              </w:rPr>
            </w:r>
          </w:p>
        </w:tc>
      </w:tr>
      <w:tr>
        <w:tc>
          <w:tcPr>
            <w:tcW w:type="dxa" w:w="893"/>
            <w:vAlign w:val="center"/>
          </w:tcPr>
          <w:p>
            <w:pPr>
              <w:spacing w:after="0"/>
            </w:pPr>
            <w:r>
              <w:rPr>
                <w:sz w:val="12"/>
              </w:rPr>
              <w:t>IT-05</w:t>
            </w:r>
          </w:p>
        </w:tc>
        <w:tc>
          <w:tcPr>
            <w:tcW w:type="dxa" w:w="1613"/>
            <w:vAlign w:val="center"/>
          </w:tcPr>
          <w:p>
            <w:pPr>
              <w:spacing w:after="0"/>
            </w:pPr>
            <w:r>
              <w:rPr>
                <w:sz w:val="12"/>
              </w:rPr>
              <w:t>Assess protective surfaces and coatings</w:t>
            </w:r>
          </w:p>
        </w:tc>
        <w:tc>
          <w:tcPr>
            <w:tcW w:type="dxa" w:w="2232"/>
            <w:vAlign w:val="center"/>
          </w:tcPr>
          <w:p>
            <w:pPr>
              <w:spacing w:after="0"/>
            </w:pPr>
            <w:r>
              <w:rPr>
                <w:sz w:val="12"/>
              </w:rPr>
              <w:t>Surface is clean, continuous, and free of contamination</w:t>
            </w:r>
          </w:p>
        </w:tc>
        <w:tc>
          <w:tcPr>
            <w:tcW w:type="dxa" w:w="907"/>
            <w:vAlign w:val="center"/>
            <w:shd w:fill="FFFDF1"/>
          </w:tcPr>
          <w:p>
            <w:pPr>
              <w:spacing w:after="0"/>
            </w:pPr>
            <w:r>
              <w:rPr>
                <w:sz w:val="12"/>
              </w:rPr>
            </w:r>
          </w:p>
        </w:tc>
        <w:tc>
          <w:tcPr>
            <w:tcW w:type="dxa" w:w="1094"/>
            <w:vAlign w:val="center"/>
            <w:shd w:fill="FFFDF1"/>
          </w:tcPr>
          <w:p>
            <w:pPr>
              <w:spacing w:after="0"/>
            </w:pPr>
            <w:r>
              <w:rPr>
                <w:sz w:val="12"/>
              </w:rPr>
            </w:r>
          </w:p>
        </w:tc>
        <w:tc>
          <w:tcPr>
            <w:tcW w:type="dxa" w:w="1008"/>
            <w:vAlign w:val="center"/>
            <w:shd w:fill="FFFDF1"/>
          </w:tcPr>
          <w:p>
            <w:pPr>
              <w:spacing w:after="0"/>
            </w:pPr>
            <w:r>
              <w:rPr>
                <w:sz w:val="12"/>
              </w:rPr>
            </w:r>
          </w:p>
        </w:tc>
        <w:tc>
          <w:tcPr>
            <w:tcW w:type="dxa" w:w="1296"/>
            <w:vAlign w:val="center"/>
            <w:shd w:fill="FFFDF1"/>
          </w:tcPr>
          <w:p>
            <w:pPr>
              <w:spacing w:after="0"/>
            </w:pPr>
            <w:r>
              <w:rPr>
                <w:sz w:val="12"/>
              </w:rPr>
            </w:r>
          </w:p>
        </w:tc>
        <w:tc>
          <w:tcPr>
            <w:tcW w:type="dxa" w:w="1181"/>
            <w:vAlign w:val="center"/>
            <w:shd w:fill="FFFDF1"/>
          </w:tcPr>
          <w:p>
            <w:pPr>
              <w:spacing w:after="0"/>
            </w:pPr>
            <w:r>
              <w:rPr>
                <w:sz w:val="12"/>
              </w:rPr>
            </w:r>
          </w:p>
        </w:tc>
      </w:tr>
      <w:tr>
        <w:tc>
          <w:tcPr>
            <w:tcW w:type="dxa" w:w="893"/>
            <w:vAlign w:val="center"/>
          </w:tcPr>
          <w:p>
            <w:pPr>
              <w:spacing w:after="0"/>
            </w:pPr>
            <w:r>
              <w:rPr>
                <w:sz w:val="12"/>
              </w:rPr>
              <w:t>IT-06</w:t>
            </w:r>
          </w:p>
        </w:tc>
        <w:tc>
          <w:tcPr>
            <w:tcW w:type="dxa" w:w="1613"/>
            <w:vAlign w:val="center"/>
          </w:tcPr>
          <w:p>
            <w:pPr>
              <w:spacing w:after="0"/>
            </w:pPr>
            <w:r>
              <w:rPr>
                <w:sz w:val="12"/>
              </w:rPr>
              <w:t>Confirm markings, warnings, and traceability</w:t>
            </w:r>
          </w:p>
        </w:tc>
        <w:tc>
          <w:tcPr>
            <w:tcW w:type="dxa" w:w="2232"/>
            <w:vAlign w:val="center"/>
          </w:tcPr>
          <w:p>
            <w:pPr>
              <w:spacing w:after="0"/>
            </w:pPr>
            <w:r>
              <w:rPr>
                <w:sz w:val="12"/>
              </w:rPr>
              <w:t>Required markings are present and traceable</w:t>
            </w:r>
          </w:p>
        </w:tc>
        <w:tc>
          <w:tcPr>
            <w:tcW w:type="dxa" w:w="907"/>
            <w:vAlign w:val="center"/>
            <w:shd w:fill="FFFDF1"/>
          </w:tcPr>
          <w:p>
            <w:pPr>
              <w:spacing w:after="0"/>
            </w:pPr>
            <w:r>
              <w:rPr>
                <w:sz w:val="12"/>
              </w:rPr>
            </w:r>
          </w:p>
        </w:tc>
        <w:tc>
          <w:tcPr>
            <w:tcW w:type="dxa" w:w="1094"/>
            <w:vAlign w:val="center"/>
            <w:shd w:fill="FFFDF1"/>
          </w:tcPr>
          <w:p>
            <w:pPr>
              <w:spacing w:after="0"/>
            </w:pPr>
            <w:r>
              <w:rPr>
                <w:sz w:val="12"/>
              </w:rPr>
            </w:r>
          </w:p>
        </w:tc>
        <w:tc>
          <w:tcPr>
            <w:tcW w:type="dxa" w:w="1008"/>
            <w:vAlign w:val="center"/>
            <w:shd w:fill="FFFDF1"/>
          </w:tcPr>
          <w:p>
            <w:pPr>
              <w:spacing w:after="0"/>
            </w:pPr>
            <w:r>
              <w:rPr>
                <w:sz w:val="12"/>
              </w:rPr>
            </w:r>
          </w:p>
        </w:tc>
        <w:tc>
          <w:tcPr>
            <w:tcW w:type="dxa" w:w="1296"/>
            <w:vAlign w:val="center"/>
            <w:shd w:fill="FFFDF1"/>
          </w:tcPr>
          <w:p>
            <w:pPr>
              <w:spacing w:after="0"/>
            </w:pPr>
            <w:r>
              <w:rPr>
                <w:sz w:val="12"/>
              </w:rPr>
            </w:r>
          </w:p>
        </w:tc>
        <w:tc>
          <w:tcPr>
            <w:tcW w:type="dxa" w:w="1181"/>
            <w:vAlign w:val="center"/>
            <w:shd w:fill="FFFDF1"/>
          </w:tcPr>
          <w:p>
            <w:pPr>
              <w:spacing w:after="0"/>
            </w:pPr>
            <w:r>
              <w:rPr>
                <w:sz w:val="12"/>
              </w:rPr>
            </w:r>
          </w:p>
        </w:tc>
      </w:tr>
      <w:tr>
        <w:tc>
          <w:tcPr>
            <w:tcW w:type="dxa" w:w="893"/>
            <w:vAlign w:val="center"/>
          </w:tcPr>
          <w:p>
            <w:pPr>
              <w:spacing w:after="0"/>
            </w:pPr>
            <w:r>
              <w:rPr>
                <w:sz w:val="12"/>
              </w:rPr>
              <w:t>IT-07</w:t>
            </w:r>
          </w:p>
        </w:tc>
        <w:tc>
          <w:tcPr>
            <w:tcW w:type="dxa" w:w="1613"/>
            <w:vAlign w:val="center"/>
          </w:tcPr>
          <w:p>
            <w:pPr>
              <w:spacing w:after="0"/>
            </w:pPr>
            <w:r>
              <w:rPr>
                <w:sz w:val="12"/>
              </w:rPr>
              <w:t>Perform functional movement check</w:t>
            </w:r>
          </w:p>
        </w:tc>
        <w:tc>
          <w:tcPr>
            <w:tcW w:type="dxa" w:w="2232"/>
            <w:vAlign w:val="center"/>
          </w:tcPr>
          <w:p>
            <w:pPr>
              <w:spacing w:after="0"/>
            </w:pPr>
            <w:r>
              <w:rPr>
                <w:sz w:val="12"/>
              </w:rPr>
              <w:t>Moving parts operate through the specified range</w:t>
            </w:r>
          </w:p>
        </w:tc>
        <w:tc>
          <w:tcPr>
            <w:tcW w:type="dxa" w:w="907"/>
            <w:vAlign w:val="center"/>
            <w:shd w:fill="FFFDF1"/>
          </w:tcPr>
          <w:p>
            <w:pPr>
              <w:spacing w:after="0"/>
            </w:pPr>
            <w:r>
              <w:rPr>
                <w:sz w:val="12"/>
              </w:rPr>
            </w:r>
          </w:p>
        </w:tc>
        <w:tc>
          <w:tcPr>
            <w:tcW w:type="dxa" w:w="1094"/>
            <w:vAlign w:val="center"/>
            <w:shd w:fill="FFFDF1"/>
          </w:tcPr>
          <w:p>
            <w:pPr>
              <w:spacing w:after="0"/>
            </w:pPr>
            <w:r>
              <w:rPr>
                <w:sz w:val="12"/>
              </w:rPr>
            </w:r>
          </w:p>
        </w:tc>
        <w:tc>
          <w:tcPr>
            <w:tcW w:type="dxa" w:w="1008"/>
            <w:vAlign w:val="center"/>
            <w:shd w:fill="FFFDF1"/>
          </w:tcPr>
          <w:p>
            <w:pPr>
              <w:spacing w:after="0"/>
            </w:pPr>
            <w:r>
              <w:rPr>
                <w:sz w:val="12"/>
              </w:rPr>
            </w:r>
          </w:p>
        </w:tc>
        <w:tc>
          <w:tcPr>
            <w:tcW w:type="dxa" w:w="1296"/>
            <w:vAlign w:val="center"/>
            <w:shd w:fill="FFFDF1"/>
          </w:tcPr>
          <w:p>
            <w:pPr>
              <w:spacing w:after="0"/>
            </w:pPr>
            <w:r>
              <w:rPr>
                <w:sz w:val="12"/>
              </w:rPr>
            </w:r>
          </w:p>
        </w:tc>
        <w:tc>
          <w:tcPr>
            <w:tcW w:type="dxa" w:w="1181"/>
            <w:vAlign w:val="center"/>
            <w:shd w:fill="FFFDF1"/>
          </w:tcPr>
          <w:p>
            <w:pPr>
              <w:spacing w:after="0"/>
            </w:pPr>
            <w:r>
              <w:rPr>
                <w:sz w:val="12"/>
              </w:rPr>
            </w:r>
          </w:p>
        </w:tc>
      </w:tr>
      <w:tr>
        <w:tc>
          <w:tcPr>
            <w:tcW w:type="dxa" w:w="893"/>
            <w:vAlign w:val="center"/>
          </w:tcPr>
          <w:p>
            <w:pPr>
              <w:spacing w:after="0"/>
            </w:pPr>
            <w:r>
              <w:rPr>
                <w:sz w:val="12"/>
              </w:rPr>
              <w:t>IT-08</w:t>
            </w:r>
          </w:p>
        </w:tc>
        <w:tc>
          <w:tcPr>
            <w:tcW w:type="dxa" w:w="1613"/>
            <w:vAlign w:val="center"/>
          </w:tcPr>
          <w:p>
            <w:pPr>
              <w:spacing w:after="0"/>
            </w:pPr>
            <w:r>
              <w:rPr>
                <w:sz w:val="12"/>
              </w:rPr>
              <w:t>Identify defects requiring quarantine</w:t>
            </w:r>
          </w:p>
        </w:tc>
        <w:tc>
          <w:tcPr>
            <w:tcW w:type="dxa" w:w="2232"/>
            <w:vAlign w:val="center"/>
          </w:tcPr>
          <w:p>
            <w:pPr>
              <w:spacing w:after="0"/>
            </w:pPr>
            <w:r>
              <w:rPr>
                <w:sz w:val="12"/>
              </w:rPr>
              <w:t>Defects are described and item is isolated when needed</w:t>
            </w:r>
          </w:p>
        </w:tc>
        <w:tc>
          <w:tcPr>
            <w:tcW w:type="dxa" w:w="907"/>
            <w:vAlign w:val="center"/>
            <w:shd w:fill="FFFDF1"/>
          </w:tcPr>
          <w:p>
            <w:pPr>
              <w:spacing w:after="0"/>
            </w:pPr>
            <w:r>
              <w:rPr>
                <w:sz w:val="12"/>
              </w:rPr>
            </w:r>
          </w:p>
        </w:tc>
        <w:tc>
          <w:tcPr>
            <w:tcW w:type="dxa" w:w="1094"/>
            <w:vAlign w:val="center"/>
            <w:shd w:fill="FFFDF1"/>
          </w:tcPr>
          <w:p>
            <w:pPr>
              <w:spacing w:after="0"/>
            </w:pPr>
            <w:r>
              <w:rPr>
                <w:sz w:val="12"/>
              </w:rPr>
            </w:r>
          </w:p>
        </w:tc>
        <w:tc>
          <w:tcPr>
            <w:tcW w:type="dxa" w:w="1008"/>
            <w:vAlign w:val="center"/>
            <w:shd w:fill="FFFDF1"/>
          </w:tcPr>
          <w:p>
            <w:pPr>
              <w:spacing w:after="0"/>
            </w:pPr>
            <w:r>
              <w:rPr>
                <w:sz w:val="12"/>
              </w:rPr>
            </w:r>
          </w:p>
        </w:tc>
        <w:tc>
          <w:tcPr>
            <w:tcW w:type="dxa" w:w="1296"/>
            <w:vAlign w:val="center"/>
            <w:shd w:fill="FFFDF1"/>
          </w:tcPr>
          <w:p>
            <w:pPr>
              <w:spacing w:after="0"/>
            </w:pPr>
            <w:r>
              <w:rPr>
                <w:sz w:val="12"/>
              </w:rPr>
            </w:r>
          </w:p>
        </w:tc>
        <w:tc>
          <w:tcPr>
            <w:tcW w:type="dxa" w:w="1181"/>
            <w:vAlign w:val="center"/>
            <w:shd w:fill="FFFDF1"/>
          </w:tcPr>
          <w:p>
            <w:pPr>
              <w:spacing w:after="0"/>
            </w:pPr>
            <w:r>
              <w:rPr>
                <w:sz w:val="12"/>
              </w:rPr>
            </w:r>
          </w:p>
        </w:tc>
      </w:tr>
      <w:tr>
        <w:tc>
          <w:tcPr>
            <w:tcW w:type="dxa" w:w="893"/>
            <w:vAlign w:val="center"/>
          </w:tcPr>
          <w:p>
            <w:pPr>
              <w:spacing w:after="0"/>
            </w:pPr>
            <w:r>
              <w:rPr>
                <w:sz w:val="12"/>
              </w:rPr>
              <w:t>IT-09</w:t>
            </w:r>
          </w:p>
        </w:tc>
        <w:tc>
          <w:tcPr>
            <w:tcW w:type="dxa" w:w="1613"/>
            <w:vAlign w:val="center"/>
          </w:tcPr>
          <w:p>
            <w:pPr>
              <w:spacing w:after="0"/>
            </w:pPr>
            <w:r>
              <w:rPr>
                <w:sz w:val="12"/>
              </w:rPr>
              <w:t>Record inspection evidence clearly</w:t>
            </w:r>
          </w:p>
        </w:tc>
        <w:tc>
          <w:tcPr>
            <w:tcW w:type="dxa" w:w="2232"/>
            <w:vAlign w:val="center"/>
          </w:tcPr>
          <w:p>
            <w:pPr>
              <w:spacing w:after="0"/>
            </w:pPr>
            <w:r>
              <w:rPr>
                <w:sz w:val="12"/>
              </w:rPr>
              <w:t>Notes identify condition, location, and supporting evidence</w:t>
            </w:r>
          </w:p>
        </w:tc>
        <w:tc>
          <w:tcPr>
            <w:tcW w:type="dxa" w:w="907"/>
            <w:vAlign w:val="center"/>
            <w:shd w:fill="FFFDF1"/>
          </w:tcPr>
          <w:p>
            <w:pPr>
              <w:spacing w:after="0"/>
            </w:pPr>
            <w:r>
              <w:rPr>
                <w:sz w:val="12"/>
              </w:rPr>
            </w:r>
          </w:p>
        </w:tc>
        <w:tc>
          <w:tcPr>
            <w:tcW w:type="dxa" w:w="1094"/>
            <w:vAlign w:val="center"/>
            <w:shd w:fill="FFFDF1"/>
          </w:tcPr>
          <w:p>
            <w:pPr>
              <w:spacing w:after="0"/>
            </w:pPr>
            <w:r>
              <w:rPr>
                <w:sz w:val="12"/>
              </w:rPr>
            </w:r>
          </w:p>
        </w:tc>
        <w:tc>
          <w:tcPr>
            <w:tcW w:type="dxa" w:w="1008"/>
            <w:vAlign w:val="center"/>
            <w:shd w:fill="FFFDF1"/>
          </w:tcPr>
          <w:p>
            <w:pPr>
              <w:spacing w:after="0"/>
            </w:pPr>
            <w:r>
              <w:rPr>
                <w:sz w:val="12"/>
              </w:rPr>
            </w:r>
          </w:p>
        </w:tc>
        <w:tc>
          <w:tcPr>
            <w:tcW w:type="dxa" w:w="1296"/>
            <w:vAlign w:val="center"/>
            <w:shd w:fill="FFFDF1"/>
          </w:tcPr>
          <w:p>
            <w:pPr>
              <w:spacing w:after="0"/>
            </w:pPr>
            <w:r>
              <w:rPr>
                <w:sz w:val="12"/>
              </w:rPr>
            </w:r>
          </w:p>
        </w:tc>
        <w:tc>
          <w:tcPr>
            <w:tcW w:type="dxa" w:w="1181"/>
            <w:vAlign w:val="center"/>
            <w:shd w:fill="FFFDF1"/>
          </w:tcPr>
          <w:p>
            <w:pPr>
              <w:spacing w:after="0"/>
            </w:pPr>
            <w:r>
              <w:rPr>
                <w:sz w:val="12"/>
              </w:rPr>
            </w:r>
          </w:p>
        </w:tc>
      </w:tr>
      <w:tr>
        <w:tc>
          <w:tcPr>
            <w:tcW w:type="dxa" w:w="893"/>
            <w:vAlign w:val="center"/>
          </w:tcPr>
          <w:p>
            <w:pPr>
              <w:spacing w:after="0"/>
            </w:pPr>
            <w:r>
              <w:rPr>
                <w:sz w:val="12"/>
              </w:rPr>
              <w:t>IT-10</w:t>
            </w:r>
          </w:p>
        </w:tc>
        <w:tc>
          <w:tcPr>
            <w:tcW w:type="dxa" w:w="1613"/>
            <w:vAlign w:val="center"/>
          </w:tcPr>
          <w:p>
            <w:pPr>
              <w:spacing w:after="0"/>
            </w:pPr>
            <w:r>
              <w:rPr>
                <w:sz w:val="12"/>
              </w:rPr>
              <w:t>Communicate disposition and escalation</w:t>
            </w:r>
          </w:p>
        </w:tc>
        <w:tc>
          <w:tcPr>
            <w:tcW w:type="dxa" w:w="2232"/>
            <w:vAlign w:val="center"/>
          </w:tcPr>
          <w:p>
            <w:pPr>
              <w:spacing w:after="0"/>
            </w:pPr>
            <w:r>
              <w:rPr>
                <w:sz w:val="12"/>
              </w:rPr>
              <w:t>Disposition is stated and escalation path is followed</w:t>
            </w:r>
          </w:p>
        </w:tc>
        <w:tc>
          <w:tcPr>
            <w:tcW w:type="dxa" w:w="907"/>
            <w:vAlign w:val="center"/>
            <w:shd w:fill="FFFDF1"/>
          </w:tcPr>
          <w:p>
            <w:pPr>
              <w:spacing w:after="0"/>
            </w:pPr>
            <w:r>
              <w:rPr>
                <w:sz w:val="12"/>
              </w:rPr>
            </w:r>
          </w:p>
        </w:tc>
        <w:tc>
          <w:tcPr>
            <w:tcW w:type="dxa" w:w="1094"/>
            <w:vAlign w:val="center"/>
            <w:shd w:fill="FFFDF1"/>
          </w:tcPr>
          <w:p>
            <w:pPr>
              <w:spacing w:after="0"/>
            </w:pPr>
            <w:r>
              <w:rPr>
                <w:sz w:val="12"/>
              </w:rPr>
            </w:r>
          </w:p>
        </w:tc>
        <w:tc>
          <w:tcPr>
            <w:tcW w:type="dxa" w:w="1008"/>
            <w:vAlign w:val="center"/>
            <w:shd w:fill="FFFDF1"/>
          </w:tcPr>
          <w:p>
            <w:pPr>
              <w:spacing w:after="0"/>
            </w:pPr>
            <w:r>
              <w:rPr>
                <w:sz w:val="12"/>
              </w:rPr>
            </w:r>
          </w:p>
        </w:tc>
        <w:tc>
          <w:tcPr>
            <w:tcW w:type="dxa" w:w="1296"/>
            <w:vAlign w:val="center"/>
            <w:shd w:fill="FFFDF1"/>
          </w:tcPr>
          <w:p>
            <w:pPr>
              <w:spacing w:after="0"/>
            </w:pPr>
            <w:r>
              <w:rPr>
                <w:sz w:val="12"/>
              </w:rPr>
            </w:r>
          </w:p>
        </w:tc>
        <w:tc>
          <w:tcPr>
            <w:tcW w:type="dxa" w:w="1181"/>
            <w:vAlign w:val="center"/>
            <w:shd w:fill="FFFDF1"/>
          </w:tcPr>
          <w:p>
            <w:pPr>
              <w:spacing w:after="0"/>
            </w:pPr>
            <w:r>
              <w:rPr>
                <w:sz w:val="12"/>
              </w:rPr>
            </w:r>
          </w:p>
        </w:tc>
      </w:tr>
    </w:tbl>
    <w:p>
      <w:pPr>
        <w:spacing w:after="120" w:line="259" w:lineRule="auto"/>
      </w:pPr>
      <w:r>
        <w:t>Entry cells are shaded for assessor use; fixed competency text is retained for audit. The workbook mirrors this table cell for cell.</w:t>
      </w:r>
    </w:p>
    <w:sectPr w:rsidR="00FC693F" w:rsidRPr="0006063C" w:rsidSect="00034616">
      <w:headerReference w:type="default" r:id="rId9"/>
      <w:footerReference w:type="default" r:id="rId10"/>
      <w:pgSz w:w="12240" w:h="15840"/>
      <w:pgMar w:top="1008" w:right="936" w:bottom="1008"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TW-IT-042    |    Page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b/>
        <w:sz w:val="16"/>
      </w:rPr>
      <w:t>TIDEWATER WORKS | INSPECTION TRAINING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73F4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286174"/>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F4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Tidewater Works Inspection Training Instructor Guide</dc:title>
  <dc:subject>Accessible inspection-training guide</dc:subject>
  <dc:creator>Cato Nwabueze</dc:creator>
  <cp:keywords/>
  <dc:description>generated by python-docx</dc:description>
  <cp:lastModifiedBy/>
  <cp:revision>1</cp:revision>
  <dcterms:created xsi:type="dcterms:W3CDTF">2013-12-23T23:15:00Z</dcterms:created>
  <dcterms:modified xsi:type="dcterms:W3CDTF">2013-12-23T23:15:00Z</dcterms:modified>
  <cp:category/>
</cp:coreProperties>
</file>