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Aptos Display" w:hAnsi="Aptos Display"/>
          <w:b/>
          <w:color w:val="1F4E79"/>
          <w:sz w:val="32"/>
        </w:rPr>
        <w:t>Loss Damage Waiver instructions for upcoming engineer rentals</w:t>
      </w:r>
    </w:p>
    <w:p>
      <w:pPr>
        <w:spacing w:after="140"/>
      </w:pPr>
      <w:r>
        <w:rPr>
          <w:color w:val="595959"/>
          <w:sz w:val="17"/>
        </w:rPr>
        <w:t>To: Fatou Baranowski, Vellumstone Manufacturing  •  From: Javier Quintero, Vellumstone Alliance  •  August 20, 2026</w:t>
      </w:r>
    </w:p>
    <w:p>
      <w:pPr>
        <w:spacing w:after="120"/>
      </w:pPr>
      <w:r>
        <w:rPr>
          <w:b/>
          <w:color w:val="1F4E79"/>
        </w:rPr>
        <w:t xml:space="preserve">Bottom line: </w:t>
      </w:r>
      <w:r>
        <w:t>tell travellers to decline the Loss Damage Waiver for every eligible sedan or SUV rental when the Vellumstone corporate card conditions below are met. Accept it only for an excluded passenger van in Arizona. In New York, that van product is unavailable, so travellers should proceed under the fleet policy.</w:t>
      </w:r>
    </w:p>
    <w:p>
      <w:pPr>
        <w:spacing w:after="40"/>
      </w:pPr>
      <w:r>
        <w:rPr>
          <w:b/>
          <w:color w:val="1F4E79"/>
          <w:sz w:val="22"/>
        </w:rPr>
        <w:t>Pickup instructions</w:t>
      </w:r>
    </w:p>
    <w:tbl>
      <w:tblPr>
        <w:tblW w:type="auto" w:w="0"/>
        <w:jc w:val="center"/>
        <w:tblLayout w:type="fixed"/>
        <w:tblLook w:firstColumn="1" w:firstRow="1" w:lastColumn="0" w:lastRow="0" w:noHBand="0" w:noVBand="1" w:val="04A0"/>
      </w:tblPr>
      <w:tblGrid>
        <w:gridCol w:w="1944"/>
        <w:gridCol w:w="3312"/>
        <w:gridCol w:w="5544"/>
      </w:tblGrid>
      <w:tr>
        <w:tc>
          <w:tcPr>
            <w:tcW w:type="dxa" w:w="3389"/>
            <w:vAlign w:val="center"/>
            <w:shd w:fill="1F4E78"/>
          </w:tcPr>
          <w:p>
            <w:pPr>
              <w:spacing w:after="0"/>
            </w:pPr>
            <w:r/>
            <w:r>
              <w:rPr>
                <w:rFonts w:ascii="Aptos" w:hAnsi="Aptos"/>
                <w:b/>
                <w:color w:val="FFFFFF"/>
                <w:sz w:val="17"/>
              </w:rPr>
              <w:t>Situation</w:t>
            </w:r>
          </w:p>
        </w:tc>
        <w:tc>
          <w:tcPr>
            <w:tcW w:type="dxa" w:w="3389"/>
            <w:vAlign w:val="center"/>
            <w:shd w:fill="1F4E78"/>
          </w:tcPr>
          <w:p>
            <w:pPr>
              <w:spacing w:after="0"/>
            </w:pPr>
            <w:r/>
            <w:r>
              <w:rPr>
                <w:rFonts w:ascii="Aptos" w:hAnsi="Aptos"/>
                <w:b/>
                <w:color w:val="FFFFFF"/>
                <w:sz w:val="17"/>
              </w:rPr>
              <w:t>Counter instruction</w:t>
            </w:r>
          </w:p>
        </w:tc>
        <w:tc>
          <w:tcPr>
            <w:tcW w:type="dxa" w:w="3389"/>
            <w:vAlign w:val="center"/>
            <w:shd w:fill="1F4E78"/>
          </w:tcPr>
          <w:p>
            <w:pPr>
              <w:spacing w:after="0"/>
            </w:pPr>
            <w:r/>
            <w:r>
              <w:rPr>
                <w:rFonts w:ascii="Aptos" w:hAnsi="Aptos"/>
                <w:b/>
                <w:color w:val="FFFFFF"/>
                <w:sz w:val="17"/>
              </w:rPr>
              <w:t>Why / exposure</w:t>
            </w:r>
          </w:p>
        </w:tc>
      </w:tr>
      <w:tr>
        <w:tc>
          <w:tcPr>
            <w:tcW w:type="dxa" w:w="1944"/>
            <w:vAlign w:val="center"/>
            <w:shd w:fill="F4F8FB"/>
          </w:tcPr>
          <w:p>
            <w:pPr>
              <w:spacing w:after="0"/>
            </w:pPr>
            <w:r/>
            <w:r>
              <w:rPr>
                <w:rFonts w:ascii="Aptos" w:hAnsi="Aptos"/>
                <w:b/>
                <w:sz w:val="16"/>
              </w:rPr>
              <w:t>Eligible sedan/SUV</w:t>
              <w:br/>
              <w:t>(AZ or NY)</w:t>
            </w:r>
          </w:p>
        </w:tc>
        <w:tc>
          <w:tcPr>
            <w:tcW w:type="dxa" w:w="3312"/>
            <w:vAlign w:val="center"/>
            <w:shd w:fill="F4F8FB"/>
          </w:tcPr>
          <w:p>
            <w:pPr>
              <w:spacing w:after="0"/>
            </w:pPr>
            <w:r/>
            <w:r>
              <w:rPr>
                <w:rFonts w:ascii="Aptos" w:hAnsi="Aptos"/>
                <w:b/>
                <w:color w:val="1F4E79"/>
                <w:sz w:val="16"/>
              </w:rPr>
              <w:t>DECLINE LDW. Pay the full rental with the designated Vellumstone corporate card; keep the eligible engineer as the named renter; keep the rental within 27 consecutive days.</w:t>
            </w:r>
          </w:p>
        </w:tc>
        <w:tc>
          <w:tcPr>
            <w:tcW w:type="dxa" w:w="5544"/>
            <w:vAlign w:val="center"/>
            <w:shd w:fill="F4F8FB"/>
          </w:tcPr>
          <w:p>
            <w:pPr>
              <w:spacing w:after="0"/>
            </w:pPr>
            <w:r/>
            <w:r>
              <w:rPr>
                <w:rFonts w:ascii="Aptos" w:hAnsi="Aptos"/>
                <w:b w:val="0"/>
                <w:sz w:val="16"/>
              </w:rPr>
              <w:t>The card benefit covers collision damage, theft, reasonable towing, loss-of-use and administrative charges with no deductible when those conditions hold. The card benefit excludes vehicles designed for more than eight occupants; sedans and SUVs do not meet that exclusion.</w:t>
            </w:r>
          </w:p>
        </w:tc>
      </w:tr>
      <w:tr>
        <w:tc>
          <w:tcPr>
            <w:tcW w:type="dxa" w:w="1944"/>
            <w:vAlign w:val="center"/>
            <w:shd w:fill="FFFFFF"/>
          </w:tcPr>
          <w:p>
            <w:pPr>
              <w:spacing w:after="0"/>
            </w:pPr>
            <w:r/>
            <w:r>
              <w:rPr>
                <w:rFonts w:ascii="Aptos" w:hAnsi="Aptos"/>
                <w:b/>
                <w:sz w:val="16"/>
              </w:rPr>
              <w:t>Arizona passenger van</w:t>
              <w:br/>
              <w:t>(12 occupants)</w:t>
            </w:r>
          </w:p>
        </w:tc>
        <w:tc>
          <w:tcPr>
            <w:tcW w:type="dxa" w:w="3312"/>
            <w:vAlign w:val="center"/>
            <w:shd w:fill="FFFFFF"/>
          </w:tcPr>
          <w:p>
            <w:pPr>
              <w:spacing w:after="0"/>
            </w:pPr>
            <w:r/>
            <w:r>
              <w:rPr>
                <w:rFonts w:ascii="Aptos" w:hAnsi="Aptos"/>
                <w:b/>
                <w:color w:val="1F4E79"/>
                <w:sz w:val="16"/>
              </w:rPr>
              <w:t>ACCEPT LDW.</w:t>
            </w:r>
          </w:p>
        </w:tc>
        <w:tc>
          <w:tcPr>
            <w:tcW w:type="dxa" w:w="5544"/>
            <w:vAlign w:val="center"/>
            <w:shd w:fill="FFFFFF"/>
          </w:tcPr>
          <w:p>
            <w:pPr>
              <w:spacing w:after="0"/>
            </w:pPr>
            <w:r/>
            <w:r>
              <w:rPr>
                <w:rFonts w:ascii="Aptos" w:hAnsi="Aptos"/>
                <w:b w:val="0"/>
                <w:sz w:val="16"/>
              </w:rPr>
              <w:t>The van is outside the card benefit because it is designed for more than eight occupants. The Manufacturing fleet policy still applies, but one covered damage occurrence leaves a $2,375 per-occurrence deductible. Arizona LDW is available and waives covered physical-damage responsibility plus listed towing, loss-of-use and administrative charges. Current rate: $31.75 per rental day.</w:t>
            </w:r>
          </w:p>
        </w:tc>
      </w:tr>
      <w:tr>
        <w:tc>
          <w:tcPr>
            <w:tcW w:type="dxa" w:w="1944"/>
            <w:vAlign w:val="center"/>
            <w:shd w:fill="F4F8FB"/>
          </w:tcPr>
          <w:p>
            <w:pPr>
              <w:spacing w:after="0"/>
            </w:pPr>
            <w:r/>
            <w:r>
              <w:rPr>
                <w:rFonts w:ascii="Aptos" w:hAnsi="Aptos"/>
                <w:b/>
                <w:sz w:val="16"/>
              </w:rPr>
              <w:t>New York passenger van</w:t>
              <w:br/>
              <w:t>(12 occupants)</w:t>
            </w:r>
          </w:p>
        </w:tc>
        <w:tc>
          <w:tcPr>
            <w:tcW w:type="dxa" w:w="3312"/>
            <w:vAlign w:val="center"/>
            <w:shd w:fill="F4F8FB"/>
          </w:tcPr>
          <w:p>
            <w:pPr>
              <w:spacing w:after="0"/>
            </w:pPr>
            <w:r/>
            <w:r>
              <w:rPr>
                <w:rFonts w:ascii="Aptos" w:hAnsi="Aptos"/>
                <w:b/>
                <w:color w:val="1F4E79"/>
                <w:sz w:val="16"/>
              </w:rPr>
              <w:t>Do not request LDW; it cannot be attached under the New York account addendum. Proceed under fleet coverage.</w:t>
            </w:r>
          </w:p>
        </w:tc>
        <w:tc>
          <w:tcPr>
            <w:tcW w:type="dxa" w:w="5544"/>
            <w:vAlign w:val="center"/>
            <w:shd w:fill="F4F8FB"/>
          </w:tcPr>
          <w:p>
            <w:pPr>
              <w:spacing w:after="0"/>
            </w:pPr>
            <w:r/>
            <w:r>
              <w:rPr>
                <w:rFonts w:ascii="Aptos" w:hAnsi="Aptos"/>
                <w:b w:val="0"/>
                <w:sz w:val="16"/>
              </w:rPr>
              <w:t>The fleet policy applies, with the $2,375 per-occurrence deductible. This is a state/account availability limit, not a voluntary decline.</w:t>
            </w:r>
          </w:p>
        </w:tc>
      </w:tr>
      <w:tr>
        <w:tc>
          <w:tcPr>
            <w:tcW w:type="dxa" w:w="1944"/>
            <w:vAlign w:val="center"/>
            <w:shd w:fill="FFFFFF"/>
          </w:tcPr>
          <w:p>
            <w:pPr>
              <w:spacing w:after="0"/>
            </w:pPr>
            <w:r/>
            <w:r>
              <w:rPr>
                <w:rFonts w:ascii="Aptos" w:hAnsi="Aptos"/>
                <w:b/>
                <w:sz w:val="16"/>
              </w:rPr>
              <w:t>AZ-8407 flexible class</w:t>
              <w:br/>
              <w:t>(provisional SUV)</w:t>
            </w:r>
          </w:p>
        </w:tc>
        <w:tc>
          <w:tcPr>
            <w:tcW w:type="dxa" w:w="3312"/>
            <w:vAlign w:val="center"/>
            <w:shd w:fill="FFFFFF"/>
          </w:tcPr>
          <w:p>
            <w:pPr>
              <w:spacing w:after="0"/>
            </w:pPr>
            <w:r/>
            <w:r>
              <w:rPr>
                <w:rFonts w:ascii="Aptos" w:hAnsi="Aptos"/>
                <w:b/>
                <w:color w:val="1F4E79"/>
                <w:sz w:val="16"/>
              </w:rPr>
              <w:t>If the SUV is supplied: DECLINE LDW. If the equipment-load substitution supplies the 12-occupant van: ACCEPT LDW.</w:t>
            </w:r>
          </w:p>
        </w:tc>
        <w:tc>
          <w:tcPr>
            <w:tcW w:type="dxa" w:w="5544"/>
            <w:vAlign w:val="center"/>
            <w:shd w:fill="FFFFFF"/>
          </w:tcPr>
          <w:p>
            <w:pPr>
              <w:spacing w:after="0"/>
            </w:pPr>
            <w:r/>
            <w:r>
              <w:rPr>
                <w:rFonts w:ascii="Aptos" w:hAnsi="Aptos"/>
                <w:b w:val="0"/>
                <w:sz w:val="16"/>
              </w:rPr>
              <w:t>Use the vehicle actually handed over at pickup. The SUV is card-eligible; the substituted van is not, and Arizona LDW is available for it.</w:t>
            </w:r>
          </w:p>
        </w:tc>
      </w:tr>
    </w:tbl>
    <w:p>
      <w:pPr>
        <w:spacing w:before="100" w:after="60"/>
      </w:pPr>
      <w:r>
        <w:rPr>
          <w:b/>
        </w:rPr>
        <w:t xml:space="preserve">Upcoming contract count (16 distinct contracts, not 40 engineers): </w:t>
      </w:r>
      <w:r>
        <w:t>3 confirmed Arizona van contracts are instructed to accept LDW. Twelve confirmed contracts are instructed not to buy or are unable to buy it. AZ-8407 is one additional conditional contract: the projected accept total is 3–4, and the projected not-buy total is 12–13 depending on the vehicle supplied. The confirmed accept group is 12 rental days × $31.75 = $381.00 in LDW charges; if AZ-8407 becomes the van, add 4 days × $31.75 = $127.00 (total $508.00).</w:t>
      </w:r>
    </w:p>
    <w:p>
      <w:pPr>
        <w:spacing w:before="40" w:after="40"/>
      </w:pPr>
      <w:r>
        <w:rPr>
          <w:b/>
          <w:color w:val="1F4E79"/>
          <w:sz w:val="22"/>
        </w:rPr>
        <w:t>Account note and disclosure</w:t>
      </w:r>
    </w:p>
    <w:p>
      <w:pPr>
        <w:spacing w:after="80"/>
      </w:pPr>
      <w:r>
        <w:rPr>
          <w:b/>
        </w:rPr>
        <w:t xml:space="preserve">I entered the authorized Vellumstone Manufacturing counter note effective September 1, 2026. </w:t>
      </w:r>
      <w:r>
        <w:t>It says: decline LDW for card-eligible classes when the corporate-card payment, named-renter and 27-day conditions are met; accept LDW for an excluded passenger van in Arizona; do not request the unavailable van LDW in New York and use fleet coverage; and re-check the actual class at pickup for any flexible booking.</w:t>
      </w:r>
    </w:p>
    <w:p>
      <w:pPr>
        <w:spacing w:after="80"/>
      </w:pPr>
      <w:r>
        <w:rPr>
          <w:b/>
        </w:rPr>
        <w:t xml:space="preserve">Candid compensation disclosure: </w:t>
      </w:r>
      <w:r>
        <w:t>Vellumstone Alliance credits me, the assigned counter clerk, $7.25 for each LDW attachment. That payment does not change the coverage terms or the instructions above.</w:t>
      </w:r>
    </w:p>
    <w:p>
      <w:r>
        <w:t>Please forward this letter to the engineers. At pickup, they should show the designated corporate card and confirm that the named renter is the eligible employee before declining LDW on an eligible class. If the vehicle class changes, use the conditional instruction above and ask the counter to record the delivered class.</w:t>
      </w:r>
    </w:p>
    <w:sectPr w:rsidR="00FC693F" w:rsidRPr="0006063C" w:rsidSect="00034616">
      <w:headerReference w:type="default" r:id="rId9"/>
      <w:footerReference w:type="default" r:id="rId10"/>
      <w:pgSz w:w="12240" w:h="15840"/>
      <w:pgMar w:top="792" w:right="1037" w:bottom="720"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Vellumstone Alliance • Corporate account response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ptos" w:hAnsi="Aptos"/>
        <w:b/>
        <w:color w:val="1F4E79"/>
        <w:sz w:val="16"/>
      </w:rPr>
      <w:t>VELLUMSTONE ALLIANCE  |  AIRPORT RENTALS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5"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