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Ballantry Utilities</w:t>
        <w:br/>
        <w:t>Glassmere Press Tooling Recovery Plan</w:t>
      </w:r>
    </w:p>
    <w:p>
      <w:pPr>
        <w:jc w:val="center"/>
      </w:pPr>
      <w:r>
        <w:rPr>
          <w:i/>
        </w:rPr>
        <w:t>Issue basis: planning sequence for Meera Stavropoulos | 05-Dec-2025 planning cut | Buyer coordinates; specialists approve</w:t>
      </w:r>
    </w:p>
    <w:p>
      <w:pPr>
        <w:pStyle w:val="Heading1"/>
      </w:pPr>
      <w:r>
        <w:t>1. Decision-useful conditions</w:t>
      </w:r>
    </w:p>
    <w:p>
      <w:r>
        <w:t>This memo sets out one executable baseline for the eleven Ballantry-owned dies. It does not recommend signing or refusing the administrator access agreement. Dates marked “forecast” remain conditional until the named specialist evidence is received.</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tcPr>
          <w:p>
            <w:pPr>
              <w:spacing w:after="0" w:before="0"/>
            </w:pPr>
            <w:r>
              <w:rPr>
                <w:sz w:val="14"/>
              </w:rPr>
              <w:t>Condition / fact</w:t>
            </w:r>
          </w:p>
        </w:tc>
        <w:tc>
          <w:tcPr>
            <w:tcW w:type="dxa" w:w="3552"/>
            <w:vAlign w:val="center"/>
          </w:tcPr>
          <w:p>
            <w:pPr>
              <w:spacing w:after="0" w:before="0"/>
            </w:pPr>
            <w:r>
              <w:rPr>
                <w:sz w:val="14"/>
              </w:rPr>
              <w:t>Baseline planning treatment</w:t>
            </w:r>
          </w:p>
        </w:tc>
        <w:tc>
          <w:tcPr>
            <w:tcW w:type="dxa" w:w="3552"/>
            <w:vAlign w:val="center"/>
          </w:tcPr>
          <w:p>
            <w:pPr>
              <w:spacing w:after="0" w:before="0"/>
            </w:pPr>
            <w:r>
              <w:rPr>
                <w:sz w:val="14"/>
              </w:rPr>
              <w:t>Owner / evidence</w:t>
            </w:r>
          </w:p>
        </w:tc>
      </w:tr>
      <w:tr>
        <w:tc>
          <w:tcPr>
            <w:tcW w:type="dxa" w:w="3552"/>
            <w:vAlign w:val="center"/>
          </w:tcPr>
          <w:p>
            <w:pPr>
              <w:spacing w:after="0" w:before="0"/>
            </w:pPr>
            <w:r>
              <w:rPr>
                <w:sz w:val="14"/>
              </w:rPr>
              <w:t>Administrator access</w:t>
            </w:r>
          </w:p>
        </w:tc>
        <w:tc>
          <w:tcPr>
            <w:tcW w:type="dxa" w:w="3552"/>
            <w:vAlign w:val="center"/>
          </w:tcPr>
          <w:p>
            <w:pPr>
              <w:spacing w:after="0" w:before="0"/>
            </w:pPr>
            <w:r>
              <w:rPr>
                <w:sz w:val="14"/>
              </w:rPr>
              <w:t>Only 06:00–16:00 on 10, 12, 17, 19 Dec; 13, 14 Jan. One 8-hour low-loader trip per window.</w:t>
            </w:r>
          </w:p>
        </w:tc>
        <w:tc>
          <w:tcPr>
            <w:tcW w:type="dxa" w:w="3552"/>
            <w:vAlign w:val="center"/>
          </w:tcPr>
          <w:p>
            <w:pPr>
              <w:spacing w:after="0" w:before="0"/>
            </w:pPr>
            <w:r>
              <w:rPr>
                <w:sz w:val="14"/>
              </w:rPr>
              <w:t>Administrator confirms window; buyer issues trip pack.</w:t>
            </w:r>
          </w:p>
        </w:tc>
      </w:tr>
      <w:tr>
        <w:tc>
          <w:tcPr>
            <w:tcW w:type="dxa" w:w="3552"/>
            <w:vAlign w:val="center"/>
          </w:tcPr>
          <w:p>
            <w:pPr>
              <w:spacing w:after="0" w:before="0"/>
            </w:pPr>
            <w:r>
              <w:rPr>
                <w:sz w:val="14"/>
              </w:rPr>
              <w:t>Insurance</w:t>
            </w:r>
          </w:p>
        </w:tc>
        <w:tc>
          <w:tcPr>
            <w:tcW w:type="dxa" w:w="3552"/>
            <w:vAlign w:val="center"/>
          </w:tcPr>
          <w:p>
            <w:pPr>
              <w:spacing w:after="0" w:before="0"/>
            </w:pPr>
            <w:r>
              <w:rPr>
                <w:sz w:val="14"/>
              </w:rPr>
              <w:t>Written notification acknowledgement is a load predecessor; 09-Dec target is not acknowledgement.</w:t>
            </w:r>
          </w:p>
        </w:tc>
        <w:tc>
          <w:tcPr>
            <w:tcW w:type="dxa" w:w="3552"/>
            <w:vAlign w:val="center"/>
          </w:tcPr>
          <w:p>
            <w:pPr>
              <w:spacing w:after="0" w:before="0"/>
            </w:pPr>
            <w:r>
              <w:rPr>
                <w:sz w:val="14"/>
              </w:rPr>
              <w:t>Insurer acknowledgement to buyer before loading.</w:t>
            </w:r>
          </w:p>
        </w:tc>
      </w:tr>
      <w:tr>
        <w:tc>
          <w:tcPr>
            <w:tcW w:type="dxa" w:w="3552"/>
            <w:vAlign w:val="center"/>
          </w:tcPr>
          <w:p>
            <w:pPr>
              <w:spacing w:after="0" w:before="0"/>
            </w:pPr>
            <w:r>
              <w:rPr>
                <w:sz w:val="14"/>
              </w:rPr>
              <w:t>Customs</w:t>
            </w:r>
          </w:p>
        </w:tc>
        <w:tc>
          <w:tcPr>
            <w:tcW w:type="dxa" w:w="3552"/>
            <w:vAlign w:val="center"/>
          </w:tcPr>
          <w:p>
            <w:pPr>
              <w:spacing w:after="0" w:before="0"/>
            </w:pPr>
            <w:r>
              <w:rPr>
                <w:sz w:val="14"/>
              </w:rPr>
              <w:t>D08–D11 load only after written release. Expected 16-Dec 08:00; downside 19-Dec 08:00.</w:t>
            </w:r>
          </w:p>
        </w:tc>
        <w:tc>
          <w:tcPr>
            <w:tcW w:type="dxa" w:w="3552"/>
            <w:vAlign w:val="center"/>
          </w:tcPr>
          <w:p>
            <w:pPr>
              <w:spacing w:after="0" w:before="0"/>
            </w:pPr>
            <w:r>
              <w:rPr>
                <w:sz w:val="14"/>
              </w:rPr>
              <w:t>Customs specialist supplies release evidence.</w:t>
            </w:r>
          </w:p>
        </w:tc>
      </w:tr>
      <w:tr>
        <w:tc>
          <w:tcPr>
            <w:tcW w:type="dxa" w:w="3552"/>
            <w:vAlign w:val="center"/>
          </w:tcPr>
          <w:p>
            <w:pPr>
              <w:spacing w:after="0" w:before="0"/>
            </w:pPr>
            <w:r>
              <w:rPr>
                <w:sz w:val="14"/>
              </w:rPr>
              <w:t>Shutdown / capacity</w:t>
            </w:r>
          </w:p>
        </w:tc>
        <w:tc>
          <w:tcPr>
            <w:tcW w:type="dxa" w:w="3552"/>
            <w:vAlign w:val="center"/>
          </w:tcPr>
          <w:p>
            <w:pPr>
              <w:spacing w:after="0" w:before="0"/>
            </w:pPr>
            <w:r>
              <w:rPr>
                <w:sz w:val="14"/>
              </w:rPr>
              <w:t>Plant, lab and press closed 22-Dec–12-Jan inclusive. Outside closure lab = 1 set/weekday; press = 1 set/weekday, next working day after layout.</w:t>
            </w:r>
          </w:p>
        </w:tc>
        <w:tc>
          <w:tcPr>
            <w:tcW w:type="dxa" w:w="3552"/>
            <w:vAlign w:val="center"/>
          </w:tcPr>
          <w:p>
            <w:pPr>
              <w:spacing w:after="0" w:before="0"/>
            </w:pPr>
            <w:r>
              <w:rPr>
                <w:sz w:val="14"/>
              </w:rPr>
              <w:t>Plant owner confirms reopening; Selma controls slots.</w:t>
            </w:r>
          </w:p>
        </w:tc>
      </w:tr>
    </w:tbl>
    <w:p>
      <w:pPr>
        <w:pStyle w:val="Heading1"/>
      </w:pPr>
      <w:r>
        <w:t>2. Baseline sequence and handoffs</w:t>
      </w:r>
    </w:p>
    <w:p>
      <w:r>
        <w:t>The workbook is the controlling set register; the sequence below is its readable handoff view. “Ready” means formal quality/production disposition after proving—not collection, receipt, or a satisfactory-looking part.</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tcPr>
          <w:p>
            <w:pPr>
              <w:spacing w:after="0" w:before="0"/>
            </w:pPr>
            <w:r>
              <w:rPr>
                <w:sz w:val="14"/>
              </w:rPr>
              <w:t>Trip / sets</w:t>
            </w:r>
          </w:p>
        </w:tc>
        <w:tc>
          <w:tcPr>
            <w:tcW w:type="dxa" w:w="1522"/>
          </w:tcPr>
          <w:p>
            <w:pPr>
              <w:spacing w:after="0" w:before="0"/>
            </w:pPr>
            <w:r>
              <w:rPr>
                <w:sz w:val="14"/>
              </w:rPr>
              <w:t>Access &amp; collection</w:t>
            </w:r>
          </w:p>
        </w:tc>
        <w:tc>
          <w:tcPr>
            <w:tcW w:type="dxa" w:w="1522"/>
          </w:tcPr>
          <w:p>
            <w:pPr>
              <w:spacing w:after="0" w:before="0"/>
            </w:pPr>
            <w:r>
              <w:rPr>
                <w:sz w:val="14"/>
              </w:rPr>
              <w:t>Receipt</w:t>
            </w:r>
          </w:p>
        </w:tc>
        <w:tc>
          <w:tcPr>
            <w:tcW w:type="dxa" w:w="1522"/>
          </w:tcPr>
          <w:p>
            <w:pPr>
              <w:spacing w:after="0" w:before="0"/>
            </w:pPr>
            <w:r>
              <w:rPr>
                <w:sz w:val="14"/>
              </w:rPr>
              <w:t>Layout / report</w:t>
            </w:r>
          </w:p>
        </w:tc>
        <w:tc>
          <w:tcPr>
            <w:tcW w:type="dxa" w:w="1522"/>
          </w:tcPr>
          <w:p>
            <w:pPr>
              <w:spacing w:after="0" w:before="0"/>
            </w:pPr>
            <w:r>
              <w:rPr>
                <w:sz w:val="14"/>
              </w:rPr>
              <w:t>Proving</w:t>
            </w:r>
          </w:p>
        </w:tc>
        <w:tc>
          <w:tcPr>
            <w:tcW w:type="dxa" w:w="1522"/>
          </w:tcPr>
          <w:p>
            <w:pPr>
              <w:spacing w:after="0" w:before="0"/>
            </w:pPr>
            <w:r>
              <w:rPr>
                <w:sz w:val="14"/>
              </w:rPr>
              <w:t>Forecast ready</w:t>
            </w:r>
          </w:p>
        </w:tc>
        <w:tc>
          <w:tcPr>
            <w:tcW w:type="dxa" w:w="1522"/>
          </w:tcPr>
          <w:p>
            <w:pPr>
              <w:spacing w:after="0" w:before="0"/>
            </w:pPr>
            <w:r>
              <w:rPr>
                <w:sz w:val="14"/>
              </w:rPr>
              <w:t>Need / status</w:t>
            </w:r>
          </w:p>
        </w:tc>
      </w:tr>
      <w:tr>
        <w:tc>
          <w:tcPr>
            <w:tcW w:type="dxa" w:w="1522"/>
          </w:tcPr>
          <w:p>
            <w:pPr>
              <w:spacing w:after="0" w:before="0"/>
            </w:pPr>
            <w:r>
              <w:rPr>
                <w:sz w:val="14"/>
              </w:rPr>
              <w:t>T1 • D01, D02</w:t>
            </w:r>
          </w:p>
        </w:tc>
        <w:tc>
          <w:tcPr>
            <w:tcW w:type="dxa" w:w="1522"/>
          </w:tcPr>
          <w:p>
            <w:pPr>
              <w:spacing w:after="0" w:before="0"/>
            </w:pPr>
            <w:r>
              <w:rPr>
                <w:sz w:val="14"/>
              </w:rPr>
              <w:t>10-Dec; two standard</w:t>
            </w:r>
          </w:p>
        </w:tc>
        <w:tc>
          <w:tcPr>
            <w:tcW w:type="dxa" w:w="1522"/>
          </w:tcPr>
          <w:p>
            <w:pPr>
              <w:spacing w:after="0" w:before="0"/>
            </w:pPr>
            <w:r>
              <w:rPr>
                <w:sz w:val="14"/>
              </w:rPr>
              <w:t>10-Dec</w:t>
            </w:r>
          </w:p>
        </w:tc>
        <w:tc>
          <w:tcPr>
            <w:tcW w:type="dxa" w:w="1522"/>
          </w:tcPr>
          <w:p>
            <w:pPr>
              <w:spacing w:after="0" w:before="0"/>
            </w:pPr>
            <w:r>
              <w:rPr>
                <w:sz w:val="14"/>
              </w:rPr>
              <w:t>D01 11-Dec / 16:00; D02 12-Dec / 16:00</w:t>
            </w:r>
          </w:p>
        </w:tc>
        <w:tc>
          <w:tcPr>
            <w:tcW w:type="dxa" w:w="1522"/>
          </w:tcPr>
          <w:p>
            <w:pPr>
              <w:spacing w:after="0" w:before="0"/>
            </w:pPr>
            <w:r>
              <w:rPr>
                <w:sz w:val="14"/>
              </w:rPr>
              <w:t>D01 12-Dec; D02 15-Dec</w:t>
            </w:r>
          </w:p>
        </w:tc>
        <w:tc>
          <w:tcPr>
            <w:tcW w:type="dxa" w:w="1522"/>
          </w:tcPr>
          <w:p>
            <w:pPr>
              <w:spacing w:after="0" w:before="0"/>
            </w:pPr>
            <w:r>
              <w:rPr>
                <w:sz w:val="14"/>
              </w:rPr>
              <w:t>D01 12-Dec; D02 15-Dec</w:t>
            </w:r>
          </w:p>
        </w:tc>
        <w:tc>
          <w:tcPr>
            <w:tcW w:type="dxa" w:w="1522"/>
          </w:tcPr>
          <w:p>
            <w:pPr>
              <w:spacing w:after="0" w:before="0"/>
            </w:pPr>
            <w:r>
              <w:rPr>
                <w:sz w:val="14"/>
              </w:rPr>
              <w:t>13-Jan / on time</w:t>
            </w:r>
          </w:p>
        </w:tc>
      </w:tr>
      <w:tr>
        <w:tc>
          <w:tcPr>
            <w:tcW w:type="dxa" w:w="1522"/>
          </w:tcPr>
          <w:p>
            <w:pPr>
              <w:spacing w:after="0" w:before="0"/>
            </w:pPr>
            <w:r>
              <w:rPr>
                <w:sz w:val="14"/>
              </w:rPr>
              <w:t>T2 • D03</w:t>
            </w:r>
          </w:p>
        </w:tc>
        <w:tc>
          <w:tcPr>
            <w:tcW w:type="dxa" w:w="1522"/>
          </w:tcPr>
          <w:p>
            <w:pPr>
              <w:spacing w:after="0" w:before="0"/>
            </w:pPr>
            <w:r>
              <w:rPr>
                <w:sz w:val="14"/>
              </w:rPr>
              <w:t>12-Dec; oversized alone</w:t>
            </w:r>
          </w:p>
        </w:tc>
        <w:tc>
          <w:tcPr>
            <w:tcW w:type="dxa" w:w="1522"/>
          </w:tcPr>
          <w:p>
            <w:pPr>
              <w:spacing w:after="0" w:before="0"/>
            </w:pPr>
            <w:r>
              <w:rPr>
                <w:sz w:val="14"/>
              </w:rPr>
              <w:t>12-Dec</w:t>
            </w:r>
          </w:p>
        </w:tc>
        <w:tc>
          <w:tcPr>
            <w:tcW w:type="dxa" w:w="1522"/>
          </w:tcPr>
          <w:p>
            <w:pPr>
              <w:spacing w:after="0" w:before="0"/>
            </w:pPr>
            <w:r>
              <w:rPr>
                <w:sz w:val="14"/>
              </w:rPr>
              <w:t>15-Dec / 16:00</w:t>
            </w:r>
          </w:p>
        </w:tc>
        <w:tc>
          <w:tcPr>
            <w:tcW w:type="dxa" w:w="1522"/>
          </w:tcPr>
          <w:p>
            <w:pPr>
              <w:spacing w:after="0" w:before="0"/>
            </w:pPr>
            <w:r>
              <w:rPr>
                <w:sz w:val="14"/>
              </w:rPr>
              <w:t>16-Dec</w:t>
            </w:r>
          </w:p>
        </w:tc>
        <w:tc>
          <w:tcPr>
            <w:tcW w:type="dxa" w:w="1522"/>
          </w:tcPr>
          <w:p>
            <w:pPr>
              <w:spacing w:after="0" w:before="0"/>
            </w:pPr>
            <w:r>
              <w:rPr>
                <w:sz w:val="14"/>
              </w:rPr>
              <w:t>16-Dec</w:t>
            </w:r>
          </w:p>
        </w:tc>
        <w:tc>
          <w:tcPr>
            <w:tcW w:type="dxa" w:w="1522"/>
          </w:tcPr>
          <w:p>
            <w:pPr>
              <w:spacing w:after="0" w:before="0"/>
            </w:pPr>
            <w:r>
              <w:rPr>
                <w:sz w:val="14"/>
              </w:rPr>
              <w:t>13-Jan / on time</w:t>
            </w:r>
          </w:p>
        </w:tc>
      </w:tr>
      <w:tr>
        <w:tc>
          <w:tcPr>
            <w:tcW w:type="dxa" w:w="1522"/>
          </w:tcPr>
          <w:p>
            <w:pPr>
              <w:spacing w:after="0" w:before="0"/>
            </w:pPr>
            <w:r>
              <w:rPr>
                <w:sz w:val="14"/>
              </w:rPr>
              <w:t>T3 • D04, D05</w:t>
            </w:r>
          </w:p>
        </w:tc>
        <w:tc>
          <w:tcPr>
            <w:tcW w:type="dxa" w:w="1522"/>
          </w:tcPr>
          <w:p>
            <w:pPr>
              <w:spacing w:after="0" w:before="0"/>
            </w:pPr>
            <w:r>
              <w:rPr>
                <w:sz w:val="14"/>
              </w:rPr>
              <w:t>17-Dec; two standard</w:t>
            </w:r>
          </w:p>
        </w:tc>
        <w:tc>
          <w:tcPr>
            <w:tcW w:type="dxa" w:w="1522"/>
          </w:tcPr>
          <w:p>
            <w:pPr>
              <w:spacing w:after="0" w:before="0"/>
            </w:pPr>
            <w:r>
              <w:rPr>
                <w:sz w:val="14"/>
              </w:rPr>
              <w:t>17-Dec</w:t>
            </w:r>
          </w:p>
        </w:tc>
        <w:tc>
          <w:tcPr>
            <w:tcW w:type="dxa" w:w="1522"/>
          </w:tcPr>
          <w:p>
            <w:pPr>
              <w:spacing w:after="0" w:before="0"/>
            </w:pPr>
            <w:r>
              <w:rPr>
                <w:sz w:val="14"/>
              </w:rPr>
              <w:t>D04 17-Dec; D05 18-Dec / 16:00</w:t>
            </w:r>
          </w:p>
        </w:tc>
        <w:tc>
          <w:tcPr>
            <w:tcW w:type="dxa" w:w="1522"/>
          </w:tcPr>
          <w:p>
            <w:pPr>
              <w:spacing w:after="0" w:before="0"/>
            </w:pPr>
            <w:r>
              <w:rPr>
                <w:sz w:val="14"/>
              </w:rPr>
              <w:t>D04 18-Dec; D05 19-Dec</w:t>
            </w:r>
          </w:p>
        </w:tc>
        <w:tc>
          <w:tcPr>
            <w:tcW w:type="dxa" w:w="1522"/>
          </w:tcPr>
          <w:p>
            <w:pPr>
              <w:spacing w:after="0" w:before="0"/>
            </w:pPr>
            <w:r>
              <w:rPr>
                <w:sz w:val="14"/>
              </w:rPr>
              <w:t>D04 18-Dec; D05 19-Dec</w:t>
            </w:r>
          </w:p>
        </w:tc>
        <w:tc>
          <w:tcPr>
            <w:tcW w:type="dxa" w:w="1522"/>
          </w:tcPr>
          <w:p>
            <w:pPr>
              <w:spacing w:after="0" w:before="0"/>
            </w:pPr>
            <w:r>
              <w:rPr>
                <w:sz w:val="14"/>
              </w:rPr>
              <w:t>16-Jan / on time</w:t>
            </w:r>
          </w:p>
        </w:tc>
      </w:tr>
      <w:tr>
        <w:tc>
          <w:tcPr>
            <w:tcW w:type="dxa" w:w="1522"/>
          </w:tcPr>
          <w:p>
            <w:pPr>
              <w:spacing w:after="0" w:before="0"/>
            </w:pPr>
            <w:r>
              <w:rPr>
                <w:sz w:val="14"/>
              </w:rPr>
              <w:t>T4 • D06, D07</w:t>
            </w:r>
          </w:p>
        </w:tc>
        <w:tc>
          <w:tcPr>
            <w:tcW w:type="dxa" w:w="1522"/>
          </w:tcPr>
          <w:p>
            <w:pPr>
              <w:spacing w:after="0" w:before="0"/>
            </w:pPr>
            <w:r>
              <w:rPr>
                <w:sz w:val="14"/>
              </w:rPr>
              <w:t>19-Dec; two standard</w:t>
            </w:r>
          </w:p>
        </w:tc>
        <w:tc>
          <w:tcPr>
            <w:tcW w:type="dxa" w:w="1522"/>
          </w:tcPr>
          <w:p>
            <w:pPr>
              <w:spacing w:after="0" w:before="0"/>
            </w:pPr>
            <w:r>
              <w:rPr>
                <w:sz w:val="14"/>
              </w:rPr>
              <w:t>20-Dec quarantine</w:t>
            </w:r>
          </w:p>
        </w:tc>
        <w:tc>
          <w:tcPr>
            <w:tcW w:type="dxa" w:w="1522"/>
          </w:tcPr>
          <w:p>
            <w:pPr>
              <w:spacing w:after="0" w:before="0"/>
            </w:pPr>
            <w:r>
              <w:rPr>
                <w:sz w:val="14"/>
              </w:rPr>
              <w:t>D06 13-Jan; D07 14-Jan / 16:00</w:t>
            </w:r>
          </w:p>
        </w:tc>
        <w:tc>
          <w:tcPr>
            <w:tcW w:type="dxa" w:w="1522"/>
          </w:tcPr>
          <w:p>
            <w:pPr>
              <w:spacing w:after="0" w:before="0"/>
            </w:pPr>
            <w:r>
              <w:rPr>
                <w:sz w:val="14"/>
              </w:rPr>
              <w:t>D06 14-Jan; D07 15-Jan</w:t>
            </w:r>
          </w:p>
        </w:tc>
        <w:tc>
          <w:tcPr>
            <w:tcW w:type="dxa" w:w="1522"/>
          </w:tcPr>
          <w:p>
            <w:pPr>
              <w:spacing w:after="0" w:before="0"/>
            </w:pPr>
            <w:r>
              <w:rPr>
                <w:sz w:val="14"/>
              </w:rPr>
              <w:t>D06 15-Jan; D07 16-Jan</w:t>
            </w:r>
          </w:p>
        </w:tc>
        <w:tc>
          <w:tcPr>
            <w:tcW w:type="dxa" w:w="1522"/>
          </w:tcPr>
          <w:p>
            <w:pPr>
              <w:spacing w:after="0" w:before="0"/>
            </w:pPr>
            <w:r>
              <w:rPr>
                <w:sz w:val="14"/>
              </w:rPr>
              <w:t>16-Jan / zero float</w:t>
            </w:r>
          </w:p>
        </w:tc>
      </w:tr>
      <w:tr>
        <w:tc>
          <w:tcPr>
            <w:tcW w:type="dxa" w:w="1522"/>
          </w:tcPr>
          <w:p>
            <w:pPr>
              <w:spacing w:after="0" w:before="0"/>
            </w:pPr>
            <w:r>
              <w:rPr>
                <w:sz w:val="14"/>
              </w:rPr>
              <w:t>T5 • D08, D09</w:t>
            </w:r>
          </w:p>
        </w:tc>
        <w:tc>
          <w:tcPr>
            <w:tcW w:type="dxa" w:w="1522"/>
          </w:tcPr>
          <w:p>
            <w:pPr>
              <w:spacing w:after="0" w:before="0"/>
            </w:pPr>
            <w:r>
              <w:rPr>
                <w:sz w:val="14"/>
              </w:rPr>
              <w:t>13-Jan; customs release required</w:t>
            </w:r>
          </w:p>
        </w:tc>
        <w:tc>
          <w:tcPr>
            <w:tcW w:type="dxa" w:w="1522"/>
          </w:tcPr>
          <w:p>
            <w:pPr>
              <w:spacing w:after="0" w:before="0"/>
            </w:pPr>
            <w:r>
              <w:rPr>
                <w:sz w:val="14"/>
              </w:rPr>
              <w:t>13-Jan</w:t>
            </w:r>
          </w:p>
        </w:tc>
        <w:tc>
          <w:tcPr>
            <w:tcW w:type="dxa" w:w="1522"/>
          </w:tcPr>
          <w:p>
            <w:pPr>
              <w:spacing w:after="0" w:before="0"/>
            </w:pPr>
            <w:r>
              <w:rPr>
                <w:sz w:val="14"/>
              </w:rPr>
              <w:t>D08 15-Jan; D09 16-Jan / 16:00</w:t>
            </w:r>
          </w:p>
        </w:tc>
        <w:tc>
          <w:tcPr>
            <w:tcW w:type="dxa" w:w="1522"/>
          </w:tcPr>
          <w:p>
            <w:pPr>
              <w:spacing w:after="0" w:before="0"/>
            </w:pPr>
            <w:r>
              <w:rPr>
                <w:sz w:val="14"/>
              </w:rPr>
              <w:t>D08 16-Jan; D09 19-Jan</w:t>
            </w:r>
          </w:p>
        </w:tc>
        <w:tc>
          <w:tcPr>
            <w:tcW w:type="dxa" w:w="1522"/>
          </w:tcPr>
          <w:p>
            <w:pPr>
              <w:spacing w:after="0" w:before="0"/>
            </w:pPr>
            <w:r>
              <w:rPr>
                <w:sz w:val="14"/>
              </w:rPr>
              <w:t>D08 16-Jan; D09 19-Jan</w:t>
            </w:r>
          </w:p>
        </w:tc>
        <w:tc>
          <w:tcPr>
            <w:tcW w:type="dxa" w:w="1522"/>
          </w:tcPr>
          <w:p>
            <w:pPr>
              <w:spacing w:after="0" w:before="0"/>
            </w:pPr>
            <w:r>
              <w:rPr>
                <w:sz w:val="14"/>
              </w:rPr>
              <w:t>23-Jan / expected customs</w:t>
            </w:r>
          </w:p>
        </w:tc>
      </w:tr>
      <w:tr>
        <w:tc>
          <w:tcPr>
            <w:tcW w:type="dxa" w:w="1522"/>
          </w:tcPr>
          <w:p>
            <w:pPr>
              <w:spacing w:after="0" w:before="0"/>
            </w:pPr>
            <w:r>
              <w:rPr>
                <w:sz w:val="14"/>
              </w:rPr>
              <w:t>T6 • D10, D11</w:t>
            </w:r>
          </w:p>
        </w:tc>
        <w:tc>
          <w:tcPr>
            <w:tcW w:type="dxa" w:w="1522"/>
          </w:tcPr>
          <w:p>
            <w:pPr>
              <w:spacing w:after="0" w:before="0"/>
            </w:pPr>
            <w:r>
              <w:rPr>
                <w:sz w:val="14"/>
              </w:rPr>
              <w:t>14-Jan; customs release required</w:t>
            </w:r>
          </w:p>
        </w:tc>
        <w:tc>
          <w:tcPr>
            <w:tcW w:type="dxa" w:w="1522"/>
          </w:tcPr>
          <w:p>
            <w:pPr>
              <w:spacing w:after="0" w:before="0"/>
            </w:pPr>
            <w:r>
              <w:rPr>
                <w:sz w:val="14"/>
              </w:rPr>
              <w:t>14-Jan</w:t>
            </w:r>
          </w:p>
        </w:tc>
        <w:tc>
          <w:tcPr>
            <w:tcW w:type="dxa" w:w="1522"/>
          </w:tcPr>
          <w:p>
            <w:pPr>
              <w:spacing w:after="0" w:before="0"/>
            </w:pPr>
            <w:r>
              <w:rPr>
                <w:sz w:val="14"/>
              </w:rPr>
              <w:t>D10 19-Jan; D11 20-Jan / 16:00</w:t>
            </w:r>
          </w:p>
        </w:tc>
        <w:tc>
          <w:tcPr>
            <w:tcW w:type="dxa" w:w="1522"/>
          </w:tcPr>
          <w:p>
            <w:pPr>
              <w:spacing w:after="0" w:before="0"/>
            </w:pPr>
            <w:r>
              <w:rPr>
                <w:sz w:val="14"/>
              </w:rPr>
              <w:t>D10 20-Jan; D11 21-Jan</w:t>
            </w:r>
          </w:p>
        </w:tc>
        <w:tc>
          <w:tcPr>
            <w:tcW w:type="dxa" w:w="1522"/>
          </w:tcPr>
          <w:p>
            <w:pPr>
              <w:spacing w:after="0" w:before="0"/>
            </w:pPr>
            <w:r>
              <w:rPr>
                <w:sz w:val="14"/>
              </w:rPr>
              <w:t>D10 20-Jan; D11 21-Jan</w:t>
            </w:r>
          </w:p>
        </w:tc>
        <w:tc>
          <w:tcPr>
            <w:tcW w:type="dxa" w:w="1522"/>
          </w:tcPr>
          <w:p>
            <w:pPr>
              <w:spacing w:after="0" w:before="0"/>
            </w:pPr>
            <w:r>
              <w:rPr>
                <w:sz w:val="14"/>
              </w:rPr>
              <w:t>23-Jan / expected customs</w:t>
            </w:r>
          </w:p>
        </w:tc>
      </w:tr>
    </w:tbl>
    <w:p>
      <w:r>
        <w:t>Handoff rhythm: Imani receives the trip pack and confirms route, lifting/rigging competence, restraint, equipment suitability, unloading slot, and (for D03) route/permit with the relevant specialists. Selma receives the receipt record and reserves one laboratory and one press slot per weekday; her quality/production disposition is the release gate. Purchasing coordinates and records decisions but does not approve insurance, customs, transport safety, or production release.</w:t>
      </w:r>
    </w:p>
    <w:p>
      <w:pPr>
        <w:pStyle w:val="Heading1"/>
      </w:pPr>
      <w:r>
        <w:t>3. Customs downside and breakpoints</w:t>
      </w:r>
    </w:p>
    <w:p>
      <w:r>
        <w:t>Expected case: written release at 08:00 on 16-Dec supports the conditional January T5/T6 loads. Downside case: release at 08:00 on 19-Dec leaves D08–D11 on HOLD for the 13/14-Jan windows; there is no later offered administrator window, so their 23-Jan need becomes unattainable unless an additional access window is confirmed. The workbook flags this branch on every customs-controlled row.</w:t>
      </w:r>
    </w:p>
    <w:p>
      <w:pPr>
        <w:pStyle w:val="ListBullet"/>
      </w:pPr>
      <w:r>
        <w:t>Insurance: acknowledgement later than 09-Dec 16:00 loses T1; later access windows are already allocated, exposing D01–D03 restart timing.</w:t>
      </w:r>
    </w:p>
    <w:p>
      <w:pPr>
        <w:pStyle w:val="ListBullet"/>
      </w:pPr>
      <w:r>
        <w:t>Access: missing T3 (17-Dec) or T4 (19-Dec) leaves D04–D07 without a permitted pre-shutdown collection and exposes the 16-Jan need.</w:t>
      </w:r>
    </w:p>
    <w:p>
      <w:pPr>
        <w:pStyle w:val="ListBullet"/>
      </w:pPr>
      <w:r>
        <w:t>Quality: D06 and D07 consume the first two reopening lab slots (13/14-Jan); a missed slot or press day removes the available float to 16-Jan.</w:t>
      </w:r>
    </w:p>
    <w:p>
      <w:pPr>
        <w:pStyle w:val="ListBullet"/>
      </w:pPr>
      <w:r>
        <w:t>Every trip: before departure, the administrator or authorized site representative signs the release/custody record. Identity and condition are checked and photographed at Glassmere and rechecked at receipt.</w:t>
      </w:r>
    </w:p>
    <w:p>
      <w:pPr>
        <w:pStyle w:val="Heading1"/>
      </w:pPr>
      <w:r>
        <w:t>4. Control path and exceptions</w:t>
      </w:r>
    </w:p>
    <w:p>
      <w:pPr>
        <w:pStyle w:val="Heading2"/>
      </w:pPr>
      <w:r>
        <w:t>Supplier release → transport → controlled receipt</w:t>
      </w:r>
    </w:p>
    <w:p>
      <w:r>
        <w:t>Buyer issues an asset list and trip pack. At Glassmere, the carrier and administrator verify die ID against the list, photograph condition, record seal/packaging and exceptions, and obtain signed custody acknowledgement before departure. Transport/lifting specialists confirm competent lifting and rigging, load restraint, equipment suitability, and D03 route/permit; those are confirmations, not buyer approvals. Receiving confirms an unloading slot, handling capacity, secure quarantine/storage, and preservation against damage or deterioration while work is pending.</w:t>
      </w:r>
    </w:p>
    <w:p>
      <w:pPr>
        <w:pStyle w:val="Heading2"/>
      </w:pPr>
      <w:r>
        <w:t>Quality release is a separate chain</w:t>
      </w:r>
    </w:p>
    <w:p>
      <w:r>
        <w:t>Receiving inspection and identity/condition recheck → accredited layout verification (report at 16:00) → proving on the next working day → assessment against the approved inspection basis → formal quality/production disposition. A collected die or good-looking proof part is not automatically released for production.</w:t>
      </w:r>
    </w:p>
    <w:p>
      <w:pPr>
        <w:pStyle w:val="Heading2"/>
      </w:pPr>
      <w:r>
        <w:t>Exception rule</w:t>
      </w:r>
    </w:p>
    <w:p>
      <w:r>
        <w:t>For damage, mismatch, failed layout, or failed proving: Selma/quality places the die and record on HOLD, segregates it in quarantine, captures photographs and the nonconformance evidence, names the disposition owner, and blocks production release. Buyer updates the schedule only after the responsible specialist records a disposition; transport or customs issues remain with those specialists.</w:t>
      </w:r>
    </w:p>
    <w:p>
      <w:pPr>
        <w:pStyle w:val="Heading1"/>
      </w:pPr>
      <w:r>
        <w:t>5. Set register (reconciliation key)</w:t>
      </w:r>
    </w:p>
    <w:p>
      <w:r>
        <w:t>All eleven sets appear exactly once below; customs-controlled sets are D08–D11 and D03 is oversized. The spreadsheet carries the same classifications, dates, need-date groupings, and baseline completion status.</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tcPr>
          <w:p>
            <w:pPr>
              <w:spacing w:after="0" w:before="0"/>
            </w:pPr>
            <w:r>
              <w:rPr>
                <w:sz w:val="15"/>
              </w:rPr>
              <w:t>Sets</w:t>
            </w:r>
          </w:p>
        </w:tc>
        <w:tc>
          <w:tcPr>
            <w:tcW w:type="dxa" w:w="2131"/>
          </w:tcPr>
          <w:p>
            <w:pPr>
              <w:spacing w:after="0" w:before="0"/>
            </w:pPr>
            <w:r>
              <w:rPr>
                <w:sz w:val="15"/>
              </w:rPr>
              <w:t>Class</w:t>
            </w:r>
          </w:p>
        </w:tc>
        <w:tc>
          <w:tcPr>
            <w:tcW w:type="dxa" w:w="2131"/>
          </w:tcPr>
          <w:p>
            <w:pPr>
              <w:spacing w:after="0" w:before="0"/>
            </w:pPr>
            <w:r>
              <w:rPr>
                <w:sz w:val="15"/>
              </w:rPr>
              <w:t>Customs</w:t>
            </w:r>
          </w:p>
        </w:tc>
        <w:tc>
          <w:tcPr>
            <w:tcW w:type="dxa" w:w="2131"/>
          </w:tcPr>
          <w:p>
            <w:pPr>
              <w:spacing w:after="0" w:before="0"/>
            </w:pPr>
            <w:r>
              <w:rPr>
                <w:sz w:val="15"/>
              </w:rPr>
              <w:t>Need date</w:t>
            </w:r>
          </w:p>
        </w:tc>
        <w:tc>
          <w:tcPr>
            <w:tcW w:type="dxa" w:w="2131"/>
          </w:tcPr>
          <w:p>
            <w:pPr>
              <w:spacing w:after="0" w:before="0"/>
            </w:pPr>
            <w:r>
              <w:rPr>
                <w:sz w:val="15"/>
              </w:rPr>
              <w:t>Baseline status</w:t>
            </w:r>
          </w:p>
        </w:tc>
      </w:tr>
      <w:tr>
        <w:tc>
          <w:tcPr>
            <w:tcW w:type="dxa" w:w="2131"/>
          </w:tcPr>
          <w:p>
            <w:pPr>
              <w:spacing w:after="0" w:before="0"/>
            </w:pPr>
            <w:r>
              <w:rPr>
                <w:sz w:val="15"/>
              </w:rPr>
              <w:t>D01–D02</w:t>
            </w:r>
          </w:p>
        </w:tc>
        <w:tc>
          <w:tcPr>
            <w:tcW w:type="dxa" w:w="2131"/>
          </w:tcPr>
          <w:p>
            <w:pPr>
              <w:spacing w:after="0" w:before="0"/>
            </w:pPr>
            <w:r>
              <w:rPr>
                <w:sz w:val="15"/>
              </w:rPr>
              <w:t>Standard</w:t>
            </w:r>
          </w:p>
        </w:tc>
        <w:tc>
          <w:tcPr>
            <w:tcW w:type="dxa" w:w="2131"/>
          </w:tcPr>
          <w:p>
            <w:pPr>
              <w:spacing w:after="0" w:before="0"/>
            </w:pPr>
            <w:r>
              <w:rPr>
                <w:sz w:val="15"/>
              </w:rPr>
              <w:t>No</w:t>
            </w:r>
          </w:p>
        </w:tc>
        <w:tc>
          <w:tcPr>
            <w:tcW w:type="dxa" w:w="2131"/>
          </w:tcPr>
          <w:p>
            <w:pPr>
              <w:spacing w:after="0" w:before="0"/>
            </w:pPr>
            <w:r>
              <w:rPr>
                <w:sz w:val="15"/>
              </w:rPr>
              <w:t>13-Jan-2026</w:t>
            </w:r>
          </w:p>
        </w:tc>
        <w:tc>
          <w:tcPr>
            <w:tcW w:type="dxa" w:w="2131"/>
          </w:tcPr>
          <w:p>
            <w:pPr>
              <w:spacing w:after="0" w:before="0"/>
            </w:pPr>
            <w:r>
              <w:rPr>
                <w:sz w:val="15"/>
              </w:rPr>
              <w:t>Forecast on time (conditional gates)</w:t>
            </w:r>
          </w:p>
        </w:tc>
      </w:tr>
      <w:tr>
        <w:tc>
          <w:tcPr>
            <w:tcW w:type="dxa" w:w="2131"/>
          </w:tcPr>
          <w:p>
            <w:pPr>
              <w:spacing w:after="0" w:before="0"/>
            </w:pPr>
            <w:r>
              <w:rPr>
                <w:sz w:val="15"/>
              </w:rPr>
              <w:t>D03</w:t>
            </w:r>
          </w:p>
        </w:tc>
        <w:tc>
          <w:tcPr>
            <w:tcW w:type="dxa" w:w="2131"/>
          </w:tcPr>
          <w:p>
            <w:pPr>
              <w:spacing w:after="0" w:before="0"/>
            </w:pPr>
            <w:r>
              <w:rPr>
                <w:sz w:val="15"/>
              </w:rPr>
              <w:t>Oversized</w:t>
            </w:r>
          </w:p>
        </w:tc>
        <w:tc>
          <w:tcPr>
            <w:tcW w:type="dxa" w:w="2131"/>
          </w:tcPr>
          <w:p>
            <w:pPr>
              <w:spacing w:after="0" w:before="0"/>
            </w:pPr>
            <w:r>
              <w:rPr>
                <w:sz w:val="15"/>
              </w:rPr>
              <w:t>No</w:t>
            </w:r>
          </w:p>
        </w:tc>
        <w:tc>
          <w:tcPr>
            <w:tcW w:type="dxa" w:w="2131"/>
          </w:tcPr>
          <w:p>
            <w:pPr>
              <w:spacing w:after="0" w:before="0"/>
            </w:pPr>
            <w:r>
              <w:rPr>
                <w:sz w:val="15"/>
              </w:rPr>
              <w:t>13-Jan-2026</w:t>
            </w:r>
          </w:p>
        </w:tc>
        <w:tc>
          <w:tcPr>
            <w:tcW w:type="dxa" w:w="2131"/>
          </w:tcPr>
          <w:p>
            <w:pPr>
              <w:spacing w:after="0" w:before="0"/>
            </w:pPr>
            <w:r>
              <w:rPr>
                <w:sz w:val="15"/>
              </w:rPr>
              <w:t>Forecast on time (conditional gates)</w:t>
            </w:r>
          </w:p>
        </w:tc>
      </w:tr>
      <w:tr>
        <w:tc>
          <w:tcPr>
            <w:tcW w:type="dxa" w:w="2131"/>
          </w:tcPr>
          <w:p>
            <w:pPr>
              <w:spacing w:after="0" w:before="0"/>
            </w:pPr>
            <w:r>
              <w:rPr>
                <w:sz w:val="15"/>
              </w:rPr>
              <w:t>D04–D07</w:t>
            </w:r>
          </w:p>
        </w:tc>
        <w:tc>
          <w:tcPr>
            <w:tcW w:type="dxa" w:w="2131"/>
          </w:tcPr>
          <w:p>
            <w:pPr>
              <w:spacing w:after="0" w:before="0"/>
            </w:pPr>
            <w:r>
              <w:rPr>
                <w:sz w:val="15"/>
              </w:rPr>
              <w:t>Standard</w:t>
            </w:r>
          </w:p>
        </w:tc>
        <w:tc>
          <w:tcPr>
            <w:tcW w:type="dxa" w:w="2131"/>
          </w:tcPr>
          <w:p>
            <w:pPr>
              <w:spacing w:after="0" w:before="0"/>
            </w:pPr>
            <w:r>
              <w:rPr>
                <w:sz w:val="15"/>
              </w:rPr>
              <w:t>No</w:t>
            </w:r>
          </w:p>
        </w:tc>
        <w:tc>
          <w:tcPr>
            <w:tcW w:type="dxa" w:w="2131"/>
          </w:tcPr>
          <w:p>
            <w:pPr>
              <w:spacing w:after="0" w:before="0"/>
            </w:pPr>
            <w:r>
              <w:rPr>
                <w:sz w:val="15"/>
              </w:rPr>
              <w:t>16-Jan-2026</w:t>
            </w:r>
          </w:p>
        </w:tc>
        <w:tc>
          <w:tcPr>
            <w:tcW w:type="dxa" w:w="2131"/>
          </w:tcPr>
          <w:p>
            <w:pPr>
              <w:spacing w:after="0" w:before="0"/>
            </w:pPr>
            <w:r>
              <w:rPr>
                <w:sz w:val="15"/>
              </w:rPr>
              <w:t>Forecast on time (D06–D07 zero float)</w:t>
            </w:r>
          </w:p>
        </w:tc>
      </w:tr>
      <w:tr>
        <w:tc>
          <w:tcPr>
            <w:tcW w:type="dxa" w:w="2131"/>
          </w:tcPr>
          <w:p>
            <w:pPr>
              <w:spacing w:after="0" w:before="0"/>
            </w:pPr>
            <w:r>
              <w:rPr>
                <w:sz w:val="15"/>
              </w:rPr>
              <w:t>D08–D11</w:t>
            </w:r>
          </w:p>
        </w:tc>
        <w:tc>
          <w:tcPr>
            <w:tcW w:type="dxa" w:w="2131"/>
          </w:tcPr>
          <w:p>
            <w:pPr>
              <w:spacing w:after="0" w:before="0"/>
            </w:pPr>
            <w:r>
              <w:rPr>
                <w:sz w:val="15"/>
              </w:rPr>
              <w:t>Standard</w:t>
            </w:r>
          </w:p>
        </w:tc>
        <w:tc>
          <w:tcPr>
            <w:tcW w:type="dxa" w:w="2131"/>
          </w:tcPr>
          <w:p>
            <w:pPr>
              <w:spacing w:after="0" w:before="0"/>
            </w:pPr>
            <w:r>
              <w:rPr>
                <w:sz w:val="15"/>
              </w:rPr>
              <w:t>Yes</w:t>
            </w:r>
          </w:p>
        </w:tc>
        <w:tc>
          <w:tcPr>
            <w:tcW w:type="dxa" w:w="2131"/>
          </w:tcPr>
          <w:p>
            <w:pPr>
              <w:spacing w:after="0" w:before="0"/>
            </w:pPr>
            <w:r>
              <w:rPr>
                <w:sz w:val="15"/>
              </w:rPr>
              <w:t>23-Jan-2026</w:t>
            </w:r>
          </w:p>
        </w:tc>
        <w:tc>
          <w:tcPr>
            <w:tcW w:type="dxa" w:w="2131"/>
          </w:tcPr>
          <w:p>
            <w:pPr>
              <w:spacing w:after="0" w:before="0"/>
            </w:pPr>
            <w:r>
              <w:rPr>
                <w:sz w:val="15"/>
              </w:rPr>
              <w:t>Forecast on time (expected customs case)</w:t>
            </w:r>
          </w:p>
        </w:tc>
      </w:tr>
    </w:tbl>
    <w:p>
      <w:r>
        <w:t>Source of truth: tooling_recovery_schedule.xlsx, “Recovery Schedule”. Planning assumptions are not approvals or operational commitments.</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5B9BD5"/>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