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7365D"/>
          <w:sz w:val="42"/>
        </w:rPr>
        <w:t>RETIREMENT PAYCHECK</w:t>
      </w:r>
    </w:p>
    <w:p>
      <w:pPr>
        <w:spacing w:after="140"/>
      </w:pPr>
      <w:r>
        <w:rPr>
          <w:color w:val="2F75B5"/>
          <w:sz w:val="22"/>
        </w:rPr>
        <w:t>Communications Compliance Assessment and Approved Public Wording</w:t>
      </w:r>
    </w:p>
    <w:tbl>
      <w:tblPr>
        <w:tblW w:type="auto" w:w="0"/>
        <w:jc w:val="center"/>
        <w:tblLayout w:type="fixed"/>
        <w:tblLook w:firstColumn="1" w:firstRow="1" w:lastColumn="0" w:lastRow="0" w:noHBand="0" w:noVBand="1" w:val="04A0"/>
      </w:tblPr>
      <w:tblGrid>
        <w:gridCol w:w="3552"/>
        <w:gridCol w:w="3552"/>
        <w:gridCol w:w="3552"/>
      </w:tblGrid>
      <w:tr>
        <w:tc>
          <w:tcPr>
            <w:tcW w:type="dxa" w:w="3816"/>
            <w:shd w:fill="D9EAF7"/>
          </w:tcPr>
          <w:p>
            <w:pPr>
              <w:spacing w:after="20"/>
            </w:pPr>
            <w:r/>
            <w:r>
              <w:rPr>
                <w:b/>
                <w:color w:val="17365D"/>
                <w:sz w:val="14"/>
              </w:rPr>
              <w:t>SCOPE</w:t>
              <w:br/>
            </w:r>
            <w:r>
              <w:rPr>
                <w:color w:val="262626"/>
                <w:sz w:val="16"/>
              </w:rPr>
              <w:t>Rushmere Council library seminar and mailed invitation; retained deck is not revised.</w:t>
            </w:r>
          </w:p>
        </w:tc>
        <w:tc>
          <w:tcPr>
            <w:tcW w:type="dxa" w:w="2448"/>
            <w:shd w:fill="D9EAF7"/>
          </w:tcPr>
          <w:p>
            <w:pPr>
              <w:spacing w:after="20"/>
            </w:pPr>
            <w:r/>
            <w:r>
              <w:rPr>
                <w:b/>
                <w:color w:val="17365D"/>
                <w:sz w:val="14"/>
              </w:rPr>
              <w:t>JURISDICTION / DATE</w:t>
              <w:br/>
            </w:r>
            <w:r>
              <w:rPr>
                <w:color w:val="262626"/>
                <w:sz w:val="16"/>
              </w:rPr>
              <w:t>United States</w:t>
              <w:br/>
              <w:t>As of September 30, 2025</w:t>
            </w:r>
          </w:p>
        </w:tc>
        <w:tc>
          <w:tcPr>
            <w:tcW w:type="dxa" w:w="3672"/>
            <w:shd w:fill="D9EAF7"/>
          </w:tcPr>
          <w:p>
            <w:pPr>
              <w:spacing w:after="20"/>
            </w:pPr>
            <w:r/>
            <w:r>
              <w:rPr>
                <w:b/>
                <w:color w:val="17365D"/>
                <w:sz w:val="14"/>
              </w:rPr>
              <w:t>USE</w:t>
              <w:br/>
            </w:r>
            <w:r>
              <w:rPr>
                <w:color w:val="262626"/>
                <w:sz w:val="16"/>
              </w:rPr>
              <w:t>Approval aid for Deshan Kirrane and junior representatives.</w:t>
            </w:r>
          </w:p>
        </w:tc>
      </w:tr>
    </w:tbl>
    <w:p>
      <w:pPr>
        <w:spacing w:before="100" w:after="40"/>
      </w:pPr>
      <w:r>
        <w:rPr>
          <w:b/>
          <w:color w:val="2F75B5"/>
          <w:sz w:val="16"/>
        </w:rPr>
        <w:t>ASSESSMENT STANDARD</w:t>
      </w:r>
    </w:p>
    <w:p>
      <w:pPr>
        <w:spacing w:after="80" w:line="247" w:lineRule="auto"/>
      </w:pPr>
      <w:r>
        <w:rPr>
          <w:color w:val="262626"/>
          <w:sz w:val="17"/>
        </w:rPr>
        <w:t>This assessment applies the U.S. broker-dealer communications principles in FINRA Rule 2210. Rule 2210(d)(1)(A) requires a fair and balanced presentation of risks and benefits; Rule 2210(d)(1)(B) bars false, misleading, promissory, exaggerated, or unwarranted statements; and Rule 2210(d)(1)(F) restricts predictions or projections of investment performance. Apply the rule to the overall impression, not just isolated words.</w:t>
      </w:r>
    </w:p>
    <w:p>
      <w:pPr>
        <w:spacing w:before="120" w:after="40"/>
        <w:pBdr>
          <w:bottom w:val="single" w:sz="8" w:space="4" w:color="B7C9D6"/>
        </w:pBdr>
      </w:pPr>
      <w:r>
        <w:rPr>
          <w:b/>
          <w:color w:val="17365D"/>
          <w:sz w:val="22"/>
        </w:rPr>
        <w:t>Annotated Script: Findings and Approved Replacements</w:t>
      </w:r>
    </w:p>
    <w:tbl>
      <w:tblPr>
        <w:tblW w:type="auto" w:w="0"/>
        <w:jc w:val="center"/>
        <w:tblLayout w:type="fixed"/>
        <w:tblLook w:firstColumn="1" w:firstRow="1" w:lastColumn="0" w:lastRow="0" w:noHBand="0" w:noVBand="1" w:val="04A0"/>
      </w:tblPr>
      <w:tblGrid>
        <w:gridCol w:w="2664"/>
        <w:gridCol w:w="2664"/>
        <w:gridCol w:w="2664"/>
        <w:gridCol w:w="2664"/>
      </w:tblGrid>
      <w:tr>
        <w:tc>
          <w:tcPr>
            <w:tcW w:type="dxa" w:w="749"/>
            <w:shd w:fill="17365D"/>
            <w:vAlign w:val="top"/>
          </w:tcPr>
          <w:p>
            <w:pPr>
              <w:spacing w:after="30"/>
            </w:pPr>
            <w:r/>
            <w:r>
              <w:rPr>
                <w:b/>
                <w:color w:val="FFFFFF"/>
                <w:sz w:val="14"/>
              </w:rPr>
              <w:t>REF.</w:t>
            </w:r>
          </w:p>
        </w:tc>
        <w:tc>
          <w:tcPr>
            <w:tcW w:type="dxa" w:w="2333"/>
            <w:shd w:fill="17365D"/>
            <w:vAlign w:val="top"/>
          </w:tcPr>
          <w:p>
            <w:pPr>
              <w:spacing w:after="30"/>
            </w:pPr>
            <w:r/>
            <w:r>
              <w:rPr>
                <w:b/>
                <w:color w:val="FFFFFF"/>
                <w:sz w:val="14"/>
              </w:rPr>
              <w:t>SOURCE PASSAGE</w:t>
            </w:r>
          </w:p>
        </w:tc>
        <w:tc>
          <w:tcPr>
            <w:tcW w:type="dxa" w:w="3715"/>
            <w:shd w:fill="17365D"/>
            <w:vAlign w:val="top"/>
          </w:tcPr>
          <w:p>
            <w:pPr>
              <w:spacing w:after="30"/>
            </w:pPr>
            <w:r/>
            <w:r>
              <w:rPr>
                <w:b/>
                <w:color w:val="FFFFFF"/>
                <w:sz w:val="14"/>
              </w:rPr>
              <w:t>WHY THIS CANNOT BE USED / STANDARD</w:t>
            </w:r>
          </w:p>
        </w:tc>
        <w:tc>
          <w:tcPr>
            <w:tcW w:type="dxa" w:w="3139"/>
            <w:shd w:fill="17365D"/>
            <w:vAlign w:val="top"/>
          </w:tcPr>
          <w:p>
            <w:pPr>
              <w:spacing w:after="30"/>
            </w:pPr>
            <w:r/>
            <w:r>
              <w:rPr>
                <w:b/>
                <w:color w:val="FFFFFF"/>
                <w:sz w:val="14"/>
              </w:rPr>
              <w:t>APPROVED SPOKEN WORDING</w:t>
            </w:r>
          </w:p>
        </w:tc>
      </w:tr>
      <w:tr>
        <w:tc>
          <w:tcPr>
            <w:tcW w:type="dxa" w:w="749"/>
            <w:shd w:fill="F2F4F6"/>
            <w:vAlign w:val="top"/>
          </w:tcPr>
          <w:p>
            <w:pPr>
              <w:spacing w:after="30"/>
            </w:pPr>
            <w:r/>
            <w:r>
              <w:rPr>
                <w:b/>
                <w:sz w:val="16"/>
              </w:rPr>
              <w:t>S-01</w:t>
            </w:r>
          </w:p>
        </w:tc>
        <w:tc>
          <w:tcPr>
            <w:tcW w:type="dxa" w:w="2333"/>
            <w:shd w:fill="F2F4F6"/>
            <w:vAlign w:val="top"/>
          </w:tcPr>
          <w:p>
            <w:pPr>
              <w:spacing w:after="30"/>
            </w:pPr>
            <w:r/>
            <w:r>
              <w:rPr>
                <w:b w:val="0"/>
                <w:sz w:val="16"/>
              </w:rPr>
              <w:t>“guaranteed monthly income”</w:t>
            </w:r>
          </w:p>
        </w:tc>
        <w:tc>
          <w:tcPr>
            <w:tcW w:type="dxa" w:w="3715"/>
            <w:shd w:fill="F2F4F6"/>
            <w:vAlign w:val="top"/>
          </w:tcPr>
          <w:p>
            <w:pPr>
              <w:spacing w:after="30"/>
            </w:pPr>
            <w:r/>
            <w:r>
              <w:rPr>
                <w:b w:val="0"/>
                <w:sz w:val="16"/>
              </w:rPr>
              <w:t>FINRA Rule 2210(d)(1)(B). “Guaranteed” promises an income outcome without a stated, legally and factually supportable basis. It hides assumptions, market changes, product terms, and personal circumstances that can affect income.</w:t>
            </w:r>
          </w:p>
        </w:tc>
        <w:tc>
          <w:tcPr>
            <w:tcW w:type="dxa" w:w="3139"/>
            <w:shd w:fill="F2F4F6"/>
            <w:vAlign w:val="top"/>
          </w:tcPr>
          <w:p>
            <w:pPr>
              <w:spacing w:after="30"/>
            </w:pPr>
            <w:r/>
            <w:r>
              <w:rPr>
                <w:b w:val="0"/>
                <w:sz w:val="16"/>
              </w:rPr>
              <w:t>“Today we will discuss ways people think about turning savings into retirement income. What an income plan can provide depends on your savings, choices, product terms, market conditions, and your own situation. Income can fall short, and investments can lose value.”</w:t>
            </w:r>
          </w:p>
        </w:tc>
      </w:tr>
      <w:tr>
        <w:tc>
          <w:tcPr>
            <w:tcW w:type="dxa" w:w="749"/>
            <w:shd w:fill="FFFFFF"/>
            <w:vAlign w:val="top"/>
          </w:tcPr>
          <w:p>
            <w:pPr>
              <w:spacing w:after="30"/>
            </w:pPr>
            <w:r/>
            <w:r>
              <w:rPr>
                <w:b/>
                <w:sz w:val="16"/>
              </w:rPr>
              <w:t>S-02</w:t>
            </w:r>
          </w:p>
        </w:tc>
        <w:tc>
          <w:tcPr>
            <w:tcW w:type="dxa" w:w="2333"/>
            <w:shd w:fill="FFFFFF"/>
            <w:vAlign w:val="top"/>
          </w:tcPr>
          <w:p>
            <w:pPr>
              <w:spacing w:after="30"/>
            </w:pPr>
            <w:r/>
            <w:r>
              <w:rPr>
                <w:b w:val="0"/>
                <w:sz w:val="16"/>
              </w:rPr>
              <w:t>“complimentary plan review”</w:t>
            </w:r>
          </w:p>
        </w:tc>
        <w:tc>
          <w:tcPr>
            <w:tcW w:type="dxa" w:w="3715"/>
            <w:shd w:fill="FFFFFF"/>
            <w:vAlign w:val="top"/>
          </w:tcPr>
          <w:p>
            <w:pPr>
              <w:spacing w:after="30"/>
            </w:pPr>
            <w:r/>
            <w:r>
              <w:rPr>
                <w:b w:val="0"/>
                <w:sz w:val="16"/>
              </w:rPr>
              <w:t>FINRA Rule 2210(d)(1)(A)-(B). It can sound like a free, objective planning service when used to invite a one-to-one sales conversation. That is a misleading commercial context and blurs general education with individualized advice.</w:t>
            </w:r>
          </w:p>
        </w:tc>
        <w:tc>
          <w:tcPr>
            <w:tcW w:type="dxa" w:w="3139"/>
            <w:shd w:fill="FFFFFF"/>
            <w:vAlign w:val="top"/>
          </w:tcPr>
          <w:p>
            <w:pPr>
              <w:spacing w:after="30"/>
            </w:pPr>
            <w:r/>
            <w:r>
              <w:rPr>
                <w:b w:val="0"/>
                <w:sz w:val="16"/>
              </w:rPr>
              <w:t>“After the program, you may ask for a no-charge educational conversation with a Marchbank representative. It may include a discussion of our services or products. It is not a personal recommendation or a complete review of your plan.”</w:t>
            </w:r>
          </w:p>
        </w:tc>
      </w:tr>
      <w:tr>
        <w:tc>
          <w:tcPr>
            <w:tcW w:type="dxa" w:w="749"/>
            <w:shd w:fill="F2F4F6"/>
            <w:vAlign w:val="top"/>
          </w:tcPr>
          <w:p>
            <w:pPr>
              <w:spacing w:after="30"/>
            </w:pPr>
            <w:r/>
            <w:r>
              <w:rPr>
                <w:b/>
                <w:sz w:val="16"/>
              </w:rPr>
              <w:t>S-03</w:t>
            </w:r>
          </w:p>
        </w:tc>
        <w:tc>
          <w:tcPr>
            <w:tcW w:type="dxa" w:w="2333"/>
            <w:shd w:fill="F2F4F6"/>
            <w:vAlign w:val="top"/>
          </w:tcPr>
          <w:p>
            <w:pPr>
              <w:spacing w:after="30"/>
            </w:pPr>
            <w:r/>
            <w:r>
              <w:rPr>
                <w:b w:val="0"/>
                <w:sz w:val="16"/>
              </w:rPr>
              <w:t>Chart label: “typical results”</w:t>
            </w:r>
          </w:p>
        </w:tc>
        <w:tc>
          <w:tcPr>
            <w:tcW w:type="dxa" w:w="3715"/>
            <w:shd w:fill="F2F4F6"/>
            <w:vAlign w:val="top"/>
          </w:tcPr>
          <w:p>
            <w:pPr>
              <w:spacing w:after="30"/>
            </w:pPr>
            <w:r/>
            <w:r>
              <w:rPr>
                <w:b w:val="0"/>
                <w:sz w:val="16"/>
              </w:rPr>
              <w:t>FINRA Rule 2210(d)(1)(A), (B), and (F). “Typical” is a performance claim. It is unsupported here: no defined population, period, method, assumptions, or substantiation is provided. It may imply that an illustration or past experience predicts an attendee’s outcome.</w:t>
            </w:r>
          </w:p>
        </w:tc>
        <w:tc>
          <w:tcPr>
            <w:tcW w:type="dxa" w:w="3139"/>
            <w:shd w:fill="F2F4F6"/>
            <w:vAlign w:val="top"/>
          </w:tcPr>
          <w:p>
            <w:pPr>
              <w:spacing w:after="30"/>
            </w:pPr>
            <w:r/>
            <w:r>
              <w:rPr>
                <w:b w:val="0"/>
                <w:sz w:val="16"/>
              </w:rPr>
              <w:t>“Do not show the chart with this label. If the chart remains in the retained deck, say: ‘This is only an illustration of questions people may consider. It is not a forecast or a promise of results, and it does not show what you will receive.’ Do not describe any result as typical.”</w:t>
            </w:r>
          </w:p>
        </w:tc>
      </w:tr>
    </w:tbl>
    <w:p>
      <w:pPr>
        <w:spacing w:before="120" w:after="40"/>
        <w:pBdr>
          <w:bottom w:val="single" w:sz="8" w:space="4" w:color="B7C9D6"/>
        </w:pBdr>
      </w:pPr>
      <w:r>
        <w:rPr>
          <w:b/>
          <w:color w:val="17365D"/>
          <w:sz w:val="22"/>
        </w:rPr>
        <w:t>Invitation Finding and Approved Replacement</w:t>
      </w:r>
    </w:p>
    <w:tbl>
      <w:tblPr>
        <w:tblW w:type="auto" w:w="0"/>
        <w:jc w:val="center"/>
        <w:tblLayout w:type="fixed"/>
        <w:tblLook w:firstColumn="1" w:firstRow="1" w:lastColumn="0" w:lastRow="0" w:noHBand="0" w:noVBand="1" w:val="04A0"/>
      </w:tblPr>
      <w:tblGrid>
        <w:gridCol w:w="2664"/>
        <w:gridCol w:w="2664"/>
        <w:gridCol w:w="2664"/>
        <w:gridCol w:w="2664"/>
      </w:tblGrid>
      <w:tr>
        <w:tc>
          <w:tcPr>
            <w:tcW w:type="dxa" w:w="749"/>
            <w:shd w:fill="17365D"/>
            <w:vAlign w:val="top"/>
          </w:tcPr>
          <w:p>
            <w:pPr>
              <w:spacing w:after="30"/>
            </w:pPr>
            <w:r/>
            <w:r>
              <w:rPr>
                <w:b/>
                <w:color w:val="FFFFFF"/>
                <w:sz w:val="14"/>
              </w:rPr>
              <w:t>REF.</w:t>
            </w:r>
          </w:p>
        </w:tc>
        <w:tc>
          <w:tcPr>
            <w:tcW w:type="dxa" w:w="2333"/>
            <w:shd w:fill="17365D"/>
            <w:vAlign w:val="top"/>
          </w:tcPr>
          <w:p>
            <w:pPr>
              <w:spacing w:after="30"/>
            </w:pPr>
            <w:r/>
            <w:r>
              <w:rPr>
                <w:b/>
                <w:color w:val="FFFFFF"/>
                <w:sz w:val="14"/>
              </w:rPr>
              <w:t>SOURCE PASSAGE</w:t>
            </w:r>
          </w:p>
        </w:tc>
        <w:tc>
          <w:tcPr>
            <w:tcW w:type="dxa" w:w="3715"/>
            <w:shd w:fill="17365D"/>
            <w:vAlign w:val="top"/>
          </w:tcPr>
          <w:p>
            <w:pPr>
              <w:spacing w:after="30"/>
            </w:pPr>
            <w:r/>
            <w:r>
              <w:rPr>
                <w:b/>
                <w:color w:val="FFFFFF"/>
                <w:sz w:val="14"/>
              </w:rPr>
              <w:t>WHY THIS CANNOT BE USED / STANDARD</w:t>
            </w:r>
          </w:p>
        </w:tc>
        <w:tc>
          <w:tcPr>
            <w:tcW w:type="dxa" w:w="3139"/>
            <w:shd w:fill="17365D"/>
            <w:vAlign w:val="top"/>
          </w:tcPr>
          <w:p>
            <w:pPr>
              <w:spacing w:after="30"/>
            </w:pPr>
            <w:r/>
            <w:r>
              <w:rPr>
                <w:b/>
                <w:color w:val="FFFFFF"/>
                <w:sz w:val="14"/>
              </w:rPr>
              <w:t>APPROVED TREATMENT</w:t>
            </w:r>
          </w:p>
        </w:tc>
      </w:tr>
      <w:tr>
        <w:tc>
          <w:tcPr>
            <w:tcW w:type="dxa" w:w="749"/>
            <w:vAlign w:val="top"/>
          </w:tcPr>
          <w:p>
            <w:pPr>
              <w:spacing w:after="30"/>
            </w:pPr>
            <w:r/>
            <w:r>
              <w:rPr>
                <w:b/>
                <w:sz w:val="16"/>
              </w:rPr>
              <w:t>I-01</w:t>
            </w:r>
          </w:p>
        </w:tc>
        <w:tc>
          <w:tcPr>
            <w:tcW w:type="dxa" w:w="2333"/>
            <w:vAlign w:val="top"/>
          </w:tcPr>
          <w:p>
            <w:pPr>
              <w:spacing w:after="30"/>
            </w:pPr>
            <w:r/>
            <w:r>
              <w:rPr>
                <w:b w:val="0"/>
                <w:sz w:val="16"/>
              </w:rPr>
              <w:t>Invitation omission: Marchbank Instruments is not identified as a broker-dealer.</w:t>
            </w:r>
          </w:p>
        </w:tc>
        <w:tc>
          <w:tcPr>
            <w:tcW w:type="dxa" w:w="3715"/>
            <w:vAlign w:val="top"/>
          </w:tcPr>
          <w:p>
            <w:pPr>
              <w:spacing w:after="30"/>
            </w:pPr>
            <w:r/>
            <w:r>
              <w:rPr>
                <w:b w:val="0"/>
                <w:sz w:val="16"/>
              </w:rPr>
              <w:t>FINRA Rule 2210(d)(1)(A)-(B). Leaving the firm’s regulated sales capacity implicit can give a reader a misleading picture of who is offering the event and the commercial context. The invitation must disclose that Marchbank Instruments is a broker-dealer in plain language.</w:t>
            </w:r>
          </w:p>
        </w:tc>
        <w:tc>
          <w:tcPr>
            <w:tcW w:type="dxa" w:w="3139"/>
            <w:vAlign w:val="top"/>
          </w:tcPr>
          <w:p>
            <w:pPr>
              <w:spacing w:after="30"/>
            </w:pPr>
            <w:r/>
            <w:r>
              <w:rPr>
                <w:b w:val="0"/>
                <w:sz w:val="16"/>
              </w:rPr>
              <w:t>Use the self-contained approved invitation below. Identify the firm prominently as a broker-dealer and explain the session is educational, not individualized investment advice.</w:t>
            </w:r>
          </w:p>
        </w:tc>
      </w:tr>
    </w:tbl>
    <w:p>
      <w:pPr>
        <w:spacing w:before="120" w:after="40"/>
        <w:pBdr>
          <w:bottom w:val="single" w:sz="8" w:space="4" w:color="B7C9D6"/>
        </w:pBdr>
      </w:pPr>
      <w:r>
        <w:rPr>
          <w:b/>
          <w:color w:val="17365D"/>
          <w:sz w:val="22"/>
        </w:rPr>
        <w:t>Representative Use: Routine and Exceptional Situations</w:t>
      </w:r>
    </w:p>
    <w:p>
      <w:pPr>
        <w:pStyle w:val="ListBullet"/>
        <w:spacing w:after="20" w:line="240" w:lineRule="auto"/>
        <w:ind w:left="317" w:hanging="173"/>
      </w:pPr>
      <w:r>
        <w:rPr>
          <w:color w:val="262626"/>
          <w:sz w:val="17"/>
        </w:rPr>
        <w:t>Routine control: Do not use “complimentary plan review,” or a substitute that suggests a free personal plan review, to obtain one-to-one sales meetings. Offer only the approved “no-charge educational conversation” wording. Before any private discussion moves to recommendations, follow firm supervision and the applicable customer-information and suitability / Regulation Best Interest process.</w:t>
      </w:r>
    </w:p>
    <w:p>
      <w:pPr>
        <w:pStyle w:val="ListBullet"/>
        <w:spacing w:after="20" w:line="240" w:lineRule="auto"/>
        <w:ind w:left="317" w:hanging="173"/>
      </w:pPr>
      <w:r>
        <w:rPr>
          <w:color w:val="262626"/>
          <w:sz w:val="17"/>
        </w:rPr>
        <w:t>Exceptional case - urgent guaranteed amount or personal recommendation: Say, “I hear that this feels urgent. I cannot tell you today what amount can be guaranteed or recommend a personal investment in this public session. We can arrange a private follow-up through Marchbank so the right information and options can be considered.” Do not calculate a promised income amount, select a product, or take recommendation instructions at the seminar.</w:t>
      </w:r>
    </w:p>
    <w:p>
      <w:pPr>
        <w:spacing w:before="120" w:after="40"/>
        <w:pBdr>
          <w:bottom w:val="single" w:sz="8" w:space="4" w:color="B7C9D6"/>
        </w:pBdr>
      </w:pPr>
      <w:r>
        <w:rPr>
          <w:b/>
          <w:color w:val="17365D"/>
          <w:sz w:val="22"/>
        </w:rPr>
        <w:t>Approved Mailed Invitation</w:t>
      </w:r>
    </w:p>
    <w:p>
      <w:pPr>
        <w:spacing w:after="60" w:line="247" w:lineRule="auto"/>
      </w:pPr>
      <w:r>
        <w:rPr>
          <w:color w:val="262626"/>
          <w:sz w:val="17"/>
        </w:rPr>
        <w:t>The wording below is the approved outward-facing copy. Use it as written; it stands on its own.</w:t>
      </w:r>
    </w:p>
    <w:tbl>
      <w:tblPr>
        <w:tblW w:type="auto" w:w="0"/>
        <w:jc w:val="center"/>
        <w:tblLayout w:type="fixed"/>
        <w:tblLook w:firstColumn="1" w:firstRow="1" w:lastColumn="0" w:lastRow="0" w:noHBand="0" w:noVBand="1" w:val="04A0"/>
      </w:tblPr>
      <w:tblGrid>
        <w:gridCol w:w="10656"/>
      </w:tblGrid>
      <w:tr>
        <w:tc>
          <w:tcPr>
            <w:tcW w:type="dxa" w:w="9936"/>
            <w:shd w:fill="F5F9FD"/>
          </w:tcPr>
          <w:p>
            <w:pPr>
              <w:spacing w:after="40" w:line="247" w:lineRule="auto"/>
            </w:pPr>
            <w:r/>
            <w:r>
              <w:rPr>
                <w:b/>
                <w:color w:val="17365D"/>
                <w:sz w:val="26"/>
              </w:rPr>
              <w:t>RETIREMENT PAYCHECK: A PUBLIC LIBRARY PROGRAM</w:t>
            </w:r>
          </w:p>
          <w:p>
            <w:pPr>
              <w:spacing w:after="80" w:line="247" w:lineRule="auto"/>
            </w:pPr>
            <w:r>
              <w:rPr>
                <w:b w:val="0"/>
                <w:color w:val="2F75B5"/>
                <w:sz w:val="18"/>
              </w:rPr>
              <w:t>Rushmere Council library  |  October dates</w:t>
            </w:r>
          </w:p>
          <w:p>
            <w:pPr>
              <w:spacing w:after="60" w:line="247" w:lineRule="auto"/>
            </w:pPr>
            <w:r>
              <w:rPr>
                <w:b w:val="0"/>
                <w:color w:val="262626"/>
                <w:sz w:val="18"/>
              </w:rPr>
              <w:t>Join Marchbank Instruments, a broker-dealer, for a general educational discussion about retirement income. We will talk about questions people consider when planning how savings may support spending in retirement.</w:t>
            </w:r>
          </w:p>
          <w:p>
            <w:pPr>
              <w:spacing w:after="60" w:line="247" w:lineRule="auto"/>
            </w:pPr>
            <w:r>
              <w:rPr>
                <w:b w:val="0"/>
                <w:color w:val="262626"/>
                <w:sz w:val="18"/>
              </w:rPr>
              <w:t>The program is for general information. It is not individualized investment advice, a recommendation, or a review of your personal plan. Retirement income can depend on savings, spending, market conditions, product terms, and personal circumstances. Investments involve risk, including possible loss, and an income plan may not provide enough income for every need.</w:t>
            </w:r>
          </w:p>
          <w:p>
            <w:pPr>
              <w:spacing w:after="80" w:line="247" w:lineRule="auto"/>
            </w:pPr>
            <w:r>
              <w:rPr>
                <w:b w:val="0"/>
                <w:color w:val="262626"/>
                <w:sz w:val="18"/>
              </w:rPr>
              <w:t>After the program, you may request a no-charge educational conversation with a Marchbank representative. The conversation may include discussion of Marchbank services or products. Any personal recommendation, if appropriate, would require a separate private conversation and information about your circumstances.</w:t>
            </w:r>
          </w:p>
          <w:p>
            <w:pPr>
              <w:spacing w:after="60" w:line="247" w:lineRule="auto"/>
            </w:pPr>
            <w:r>
              <w:rPr>
                <w:b/>
                <w:color w:val="17365D"/>
                <w:sz w:val="17"/>
              </w:rPr>
              <w:t>Presented by Marchbank Instruments, broker-dealer. Please contact Rushmere Council library for program details.</w:t>
            </w:r>
          </w:p>
        </w:tc>
      </w:tr>
    </w:tbl>
    <w:sectPr w:rsidR="00FC693F" w:rsidRPr="0006063C" w:rsidSect="00034616">
      <w:headerReference w:type="default" r:id="rId9"/>
      <w:footerReference w:type="default" r:id="rId10"/>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Internal approval copy  |  Retirement Paycheck seminar  |  September 30,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464"/>
        <w:sz w:val="15"/>
      </w:rPr>
      <w:t>MARCHBANK INSTRUMENTS  |  COMPLIANCE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