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F4E79"/>
          <w:sz w:val="30"/>
        </w:rPr>
        <w:t>NIGHT SHIFT  |  SUSPECTED UTI ACTION SHEET</w:t>
      </w:r>
    </w:p>
    <w:p>
      <w:pPr>
        <w:spacing w:after="80"/>
        <w:jc w:val="center"/>
      </w:pPr>
      <w:r>
        <w:rPr>
          <w:i/>
          <w:sz w:val="16"/>
        </w:rPr>
        <w:t>For LPN response when an aide reports urine change or possible UTI • Cobbler’s Rest unit • starts 1 October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146"/>
      </w:tblGrid>
      <w:tr>
        <w:tc>
          <w:tcPr>
            <w:tcW w:type="dxa" w:w="11146"/>
            <w:shd w:fill="FFF2CC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after="0" w:before="0"/>
            </w:pPr>
            <w:r>
              <w:rPr>
                <w:b/>
                <w:color w:val="7F4C00"/>
                <w:sz w:val="16"/>
              </w:rPr>
            </w:r>
            <w:r>
              <w:rPr>
                <w:rFonts w:ascii="Arial" w:hAnsi="Arial" w:eastAsia="Arial"/>
                <w:b/>
                <w:color w:val="7F4C00"/>
                <w:sz w:val="16"/>
              </w:rPr>
              <w:t>WHAT CHANGED  |  Cloudy, dark, sediment-filled, strong/foul-smelling urine alone is nonspecific. It does NOT trigger reflex dipstick, culture, or antibiotics. Assess the resident first; testing and treatment require an authorized prescriber.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816"/>
        <w:gridCol w:w="3672"/>
      </w:tblGrid>
      <w:tr>
        <w:tc>
          <w:tcPr>
            <w:tcW w:type="dxa" w:w="3715"/>
            <w:tcMar>
              <w:top w:w="45" w:type="dxa"/>
              <w:start w:w="70" w:type="dxa"/>
              <w:bottom w:w="45" w:type="dxa"/>
              <w:end w:w="70" w:type="dxa"/>
            </w:tcMar>
            <w:shd w:fill="F7FBFD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8"/>
              </w:rPr>
              <w:t>1  FIRST 90 SECONDS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Go to resident; verify identity and what aide saw. Do not collect urine yet.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Check acute instability: markedly abnormal vital signs, hypotension, respiratory distress, new severe hypoxia, rigors with rapid decline, or rapidly worsening condition.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If severely unstable: activate facility emergency response/EMS, stabilize and transfer per policy. Emergency care takes priority—do not delay for a specimen.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If stable, obtain T, BP, pulse, RR, and O₂ saturation; compare cognition, behavior, function, and continence with usual baseline.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Ask onset, timing, and progression (new, worsening, improving, unchanged).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1F4E79"/>
                <w:sz w:val="17"/>
              </w:rPr>
              <w:t>2  FOCUSED ASSESSMENT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Localizing urinary symptoms: acute dysuria (new painful urination), new/worsening urgency or frequency, suprapubic pain, gross hematuria, CVA/flank tenderness, urinary incontinence.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Fever = &gt;100°F (37.9°C) OR ≥2.4°F (1.5°C) above baseline.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New mental-status or functional change? Assess other causes; it is not proof of UTI by itself.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Check dehydration, constipation/retention, medication effects, hypoxia, pain, and abnormal blood glucose.</w:t>
            </w:r>
          </w:p>
        </w:tc>
        <w:tc>
          <w:tcPr>
            <w:tcW w:type="dxa" w:w="3715"/>
            <w:tcMar>
              <w:top w:w="45" w:type="dxa"/>
              <w:start w:w="70" w:type="dxa"/>
              <w:bottom w:w="45" w:type="dxa"/>
              <w:end w:w="70" w:type="dxa"/>
            </w:tcMar>
            <w:shd w:fill="FFFFFF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8"/>
              </w:rPr>
              <w:t>3  CHOOSE THE BRANCH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Is an indwelling urinary catheter present? Route below; do not use the non-catheter rule for catheterized residents.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NO CATHETER: notify on-call prescriber for acute dysuria alone OR fever threshold PLUS ≥1 new localizing urinary symptom. Fever alone, odor/cloudiness, or chronic symptoms do not meet this pathway.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CATHETER: fever, rigors, new delirium, or new CVA tenderness → prompt clinical escalation. Appearance/odor alone does not.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Bacteriuria/pyuria or a positive urine result alone does not establish symptomatic UTI. Without attributable urinary/systemic findings this is asymptomatic bacteriuria: default no urine testing and no antibiotics. Pregnancy or upcoming invasive urologic procedure → provider review.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Stable and no escalation criteria: offer fluids if not restricted/aspiration risk, comfort care and toileting; observe.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1F4E79"/>
                <w:sz w:val="17"/>
              </w:rPr>
              <w:t>4  CALL THE PRESCRIBER (SBAR)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Situation: concern, onset/progression, current vitals and symptoms.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Background: catheter status; allergies + reaction; current medications; renal-function information; recent antibiotics; prior cultures; resistant-organism history.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Assessment: baseline comparison, localizing findings, alternatives considered, and stability.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Request: ask whether to examine, order UA/culture, treat, or continue monitoring; document response and orders. LPN does not diagnose, order tests, or start antibiotics independently.</w:t>
            </w:r>
          </w:p>
        </w:tc>
        <w:tc>
          <w:tcPr>
            <w:tcW w:type="dxa" w:w="3715"/>
            <w:tcMar>
              <w:top w:w="45" w:type="dxa"/>
              <w:start w:w="70" w:type="dxa"/>
              <w:bottom w:w="45" w:type="dxa"/>
              <w:end w:w="70" w:type="dxa"/>
            </w:tcMar>
            <w:shd w:fill="F7FBFD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F4E79"/>
                <w:sz w:val="18"/>
              </w:rPr>
              <w:t>5  SPECIMEN &amp; MEDICATION SAFETY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Collect urine only when clinically indicated AND ordered under facility process—not automatically after an aide report.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If ordered, collect before first antibiotic dose when feasible; never delay emergency stabilization or urgent treatment.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No catheter: labeled clean-catch using clean technique; prompt transport or approved storage.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Catheter: disinfect sampling port and collect from port—NEVER drainage bag. If long-standing catheter remains necessary, coordinate with provider about replacement before culture when clinically appropriate; do not replace automatically.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Never start leftover, borrowed, or unconfirmed standing antibiotics. Use a current resident-specific order.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After administration, monitor allergy/adverse reaction and clinical improvement or deterioration. Persistent/worsening symptoms, new instability, inability to take treatment, or adverse reaction → re-contact provider; emergency response for severe instability.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No routine post-treatment UA/culture/test-of-cure when clinically improved and asymptomatic unless specifically indicated and ordered.</w:t>
            </w:r>
          </w:p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1F4E79"/>
                <w:sz w:val="17"/>
              </w:rPr>
              <w:t>6  RECORD • REASSESS • HAND OFF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Document report received; assessment/vitals; baseline comparison; onset/progression; provider contact + response; orders; specimen source/time/handling; actions; resident response.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Set a time-bound reassessment (e.g., 2–4 h or provider-specified). Contact sooner for worsening symptoms, new instability, inability to take treatment, or reaction.</w:t>
            </w:r>
          </w:p>
          <w:p>
            <w:pPr>
              <w:spacing w:after="0" w:before="0"/>
              <w:ind w:left="115" w:hanging="115"/>
            </w:pPr>
            <w:r>
              <w:rPr>
                <w:rFonts w:ascii="Arial" w:hAnsi="Arial" w:eastAsia="Arial"/>
                <w:sz w:val="14"/>
              </w:rPr>
              <w:t>• Handoff unresolved concerns, pending results, and next reassessment time.</w:t>
            </w:r>
          </w:p>
        </w:tc>
      </w:tr>
    </w:tbl>
    <w:p>
      <w:pPr>
        <w:spacing w:before="40" w:after="0"/>
        <w:jc w:val="center"/>
      </w:pPr>
      <w:r>
        <w:rPr>
          <w:b/>
          <w:color w:val="7F4C00"/>
          <w:sz w:val="16"/>
        </w:rPr>
        <w:t>DOCUMENTATION TRANSITION  |  Through 15 October: qualifying calls go in BOTH the paper overnight infection log AND the eMAR stewardship note. From 16 October: the eMAR stewardship note is the SOLE stewardship record (no duplicate paper log).</w:t>
      </w:r>
    </w:p>
    <w:p>
      <w:pPr>
        <w:spacing w:before="20" w:after="0"/>
        <w:jc w:val="center"/>
      </w:pPr>
      <w:r>
        <w:rPr>
          <w:i/>
          <w:sz w:val="14"/>
        </w:rPr>
        <w:t>Use resident-specific orders and facility emergency policy. When uncertain, escalate.</w:t>
      </w:r>
    </w:p>
    <w:sectPr w:rsidR="00FC693F" w:rsidRPr="0006063C" w:rsidSect="00034616">
      <w:pgSz w:w="12240" w:h="15840"/>
      <w:pgMar w:top="504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