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Arial" w:hAnsi="Arial" w:eastAsia="Arial"/>
          <w:b/>
          <w:color w:val="15324B"/>
          <w:sz w:val="30"/>
        </w:rPr>
        <w:t>FIRST-WEEK ACTION KEY</w:t>
      </w:r>
      <w:r>
        <w:rPr>
          <w:rFonts w:ascii="Arial" w:hAnsi="Arial" w:eastAsia="Arial"/>
          <w:b w:val="0"/>
          <w:color w:val="536473"/>
          <w:sz w:val="16"/>
        </w:rPr>
        <w:t xml:space="preserve">  Overseas medical packet actions for nonclinical caseworkers</w:t>
      </w:r>
    </w:p>
    <w:p>
      <w:pPr>
        <w:spacing w:after="60" w:line="240" w:lineRule="auto"/>
      </w:pPr>
      <w:r>
        <w:rPr>
          <w:rFonts w:ascii="Arial" w:hAnsi="Arial" w:eastAsia="Arial"/>
          <w:b/>
          <w:color w:val="536473"/>
          <w:sz w:val="14"/>
        </w:rPr>
        <w:t>Effective September 3 | Controlled release: replaces the interim verbal briefing</w:t>
      </w:r>
      <w:r>
        <w:rPr>
          <w:rFonts w:ascii="Arial" w:hAnsi="Arial" w:eastAsia="Arial"/>
          <w:b w:val="0"/>
          <w:color w:val="536473"/>
          <w:sz w:val="14"/>
        </w:rPr>
        <w:t xml:space="preserve"> | Clinical owner and escalation point: Selma Rutkowski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5CE"/>
          <w:left w:val="single" w:sz="5" w:color="B8C5CE"/>
          <w:bottom w:val="single" w:sz="5" w:color="B8C5CE"/>
          <w:right w:val="single" w:sz="5" w:color="B8C5CE"/>
          <w:insideH w:val="single" w:sz="5" w:color="B8C5CE"/>
          <w:insideV w:val="single" w:sz="5" w:color="B8C5CE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3729"/>
            <w:vAlign w:val="top"/>
            <w:shd w:fill="A238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7212B"/>
                <w:sz w:val="13"/>
              </w:rPr>
              <w:t>1  IMMEDIATE EMERGENCY</w:t>
            </w:r>
          </w:p>
        </w:tc>
        <w:tc>
          <w:tcPr>
            <w:tcW w:type="dxa" w:w="3729"/>
            <w:vAlign w:val="top"/>
            <w:shd w:fill="A238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7212B"/>
                <w:sz w:val="13"/>
              </w:rPr>
              <w:t>2  RARE EXCEPTION</w:t>
            </w:r>
          </w:p>
        </w:tc>
        <w:tc>
          <w:tcPr>
            <w:tcW w:type="dxa" w:w="3729"/>
            <w:vAlign w:val="top"/>
            <w:shd w:fill="007C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7212B"/>
                <w:sz w:val="13"/>
              </w:rPr>
              <w:t>3  PRIORITIZED</w:t>
            </w:r>
          </w:p>
        </w:tc>
        <w:tc>
          <w:tcPr>
            <w:tcW w:type="dxa" w:w="3729"/>
            <w:vAlign w:val="top"/>
            <w:shd w:fill="007C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7212B"/>
                <w:sz w:val="13"/>
              </w:rPr>
              <w:t>4  ORDINARY</w:t>
            </w:r>
          </w:p>
        </w:tc>
      </w:tr>
      <w:tr>
        <w:tc>
          <w:tcPr>
            <w:tcW w:type="dxa" w:w="3729"/>
            <w:vAlign w:val="top"/>
            <w:shd w:fill="FCEDEC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Emergency services first for severe breathing difficulty, unresponsiveness, another immediate medical emergency, or an immediate threat of self-harm or harm to others.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Current presentation changes the response regardless of the packet.</w:t>
            </w:r>
          </w:p>
        </w:tc>
        <w:tc>
          <w:tcPr>
            <w:tcW w:type="dxa" w:w="3729"/>
            <w:vAlign w:val="top"/>
            <w:shd w:fill="FFF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Class A TB with a waiver: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same-day coordinate with Selma and the appropriate public-health role. Keep outside the ordinary appointment queue. Do not decide infectiousness, isolate, cancel ordinary transport automatically, warn housing, or make exposure notices.</w:t>
            </w:r>
          </w:p>
        </w:tc>
        <w:tc>
          <w:tcPr>
            <w:tcW w:type="dxa" w:w="3729"/>
            <w:vAlign w:val="top"/>
            <w:shd w:fill="E8F3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TB follow-up notation or other finding flagged for follow-up: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promptly coordinate with Selma / receiving clinical-public-health role before ordinary screening. Letter alone is not priority or severity.</w:t>
            </w:r>
          </w:p>
        </w:tc>
        <w:tc>
          <w:tcPr>
            <w:tcW w:type="dxa" w:w="3729"/>
            <w:vAlign w:val="top"/>
            <w:shd w:fill="EAF3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Arrange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ordinary domestic screening in 30–90 days after arrival.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Higher-priority findings override. A historical behavioral notation alone is not a present emergency.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C5CE"/>
          <w:left w:val="single" w:sz="5" w:color="B8C5CE"/>
          <w:bottom w:val="single" w:sz="5" w:color="B8C5CE"/>
          <w:right w:val="single" w:sz="5" w:color="B8C5CE"/>
          <w:insideH w:val="single" w:sz="5" w:color="B8C5CE"/>
          <w:insideV w:val="single" w:sz="5" w:color="B8C5CE"/>
        </w:tblBorders>
      </w:tblPr>
      <w:tblGrid>
        <w:gridCol w:w="4637"/>
        <w:gridCol w:w="4637"/>
        <w:gridCol w:w="4838"/>
      </w:tblGrid>
      <w:tr>
        <w:tc>
          <w:tcPr>
            <w:tcW w:type="dxa" w:w="4973"/>
            <w:tcMar>
              <w:top w:w="7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/>
            <w:r>
              <w:rPr>
                <w:rFonts w:ascii="Arial" w:hAnsi="Arial" w:eastAsia="Arial"/>
                <w:b/>
                <w:color w:val="15324B"/>
                <w:sz w:val="16"/>
              </w:rPr>
              <w:t>OPEN • PRESERVE • RELAY</w:t>
            </w:r>
            <w:r>
              <w:rPr>
                <w:rFonts w:ascii="Arial" w:hAnsi="Arial" w:eastAsia="Arial"/>
                <w:b/>
                <w:color w:val="007C83"/>
                <w:sz w:val="16"/>
              </w:rPr>
              <w:t>CLASS A / B: FAST MEANING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Before acting, verify the packet belongs to the correct person: match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name plus date of birth or another packet identifier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. Copy no more identifiers than needed.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Do not alter, annotate over, discard, or separate original overseas medical records.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Securely store and transmit; never use personal email, open messaging, or unattended copies.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Record and relay the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exact classification / annotation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 (secure record attached when appropriate). Do not paraphrase into a diagnosis. Missing, damaged, mismatched, or unreadable? Secure it and escalate to Selma / appropriate receiving role;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do not guess or reconstruct.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A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: overseas immigration medical classification associated with an inadmissible condition unless an applicable waiver or resolution permits travel. Arrival can occur through an authorized waiver or other documented clearance pathway; it is not a universal statement of present infectiousness.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: significant condition, finding, or departure from normal health warranting follow-up; not itself an inadmissible Class A condition and not, by itself, active or contagious disease.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>Mental-health or behavioral Class A/B notations need careful clinical follow-up; they do not by themselves establish current dangerousness.</w:t>
            </w:r>
          </w:p>
        </w:tc>
        <w:tc>
          <w:tcPr>
            <w:tcW w:type="dxa" w:w="4973"/>
            <w:tcMar>
              <w:top w:w="7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/>
            <w:r>
              <w:rPr>
                <w:rFonts w:ascii="Arial" w:hAnsi="Arial" w:eastAsia="Arial"/>
                <w:b/>
                <w:color w:val="15324B"/>
                <w:sz w:val="16"/>
              </w:rPr>
              <w:t>TB: READ EXACTLY, THEN ROUTE</w:t>
            </w:r>
            <w:r>
              <w:rPr>
                <w:rFonts w:ascii="Arial" w:hAnsi="Arial" w:eastAsia="Arial"/>
                <w:b/>
                <w:color w:val="007C83"/>
                <w:sz w:val="16"/>
              </w:rPr>
              <w:t>VACCINATION DOCUMENTATION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B0 pulmonary TB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: TB disease diagnosed overseas; treatment completed under the applicable overseas process before departure. Prioritized follow-up; do not recast as untreated active TB.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B1 pulmonary TB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: findings/history require domestic follow-up without an overseas diagnosis of infectious TB disease at departure. Prioritized follow-up.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Does not mean active TB or authorize calling the person contagious.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B1 extrapulmonary TB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: distinct notation requiring follow-up; not synonymous with pulmonary infectiousness. Prioritized follow-up.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B2 TB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: latent TB infection evaluation, not active TB disease. Prioritized follow-up.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Class B3 TB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: evaluation as contact of a known TB case; proves neither infection nor disease. Prioritized follow-up; no caseworker exposure notices.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DS-3025 is overseas vaccination documentation, not a complete domestic immunization assessment. A blank field does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not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 prove a vaccine was never given. Entries may be dates or medically relevant reasons no dose was given (for example, not age appropriate, contraindication, insufficient interval, unavailable vaccine).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Do not fill blanks from memory, family statements, or assumptions.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Unclear/incomplete documentation: arrange clinical review or immunization assessment, not a caseworker compliance conclusion.</w:t>
            </w:r>
          </w:p>
        </w:tc>
        <w:tc>
          <w:tcPr>
            <w:tcW w:type="dxa" w:w="4973"/>
            <w:tcMar>
              <w:top w:w="70" w:type="dxa"/>
              <w:start w:w="90" w:type="dxa"/>
              <w:bottom w:w="60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/>
            <w:r>
              <w:rPr>
                <w:rFonts w:ascii="Arial" w:hAnsi="Arial" w:eastAsia="Arial"/>
                <w:b/>
                <w:color w:val="15324B"/>
                <w:sz w:val="16"/>
              </w:rPr>
              <w:t>SELECT THE STATE ROUTE</w:t>
            </w:r>
            <w:r>
              <w:rPr>
                <w:rFonts w:ascii="Arial" w:hAnsi="Arial" w:eastAsia="Arial"/>
                <w:b/>
                <w:color w:val="007C83"/>
                <w:sz w:val="16"/>
              </w:rPr>
              <w:t>MINIMUM-NECESSARY HANDOFF</w:t>
            </w:r>
            <w:r>
              <w:rPr>
                <w:rFonts w:ascii="Arial" w:hAnsi="Arial" w:eastAsia="Arial"/>
                <w:b/>
                <w:color w:val="15324B"/>
                <w:sz w:val="16"/>
              </w:rPr>
              <w:t>CLOSE THE LOOP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>Choose the Minnesota or Wisconsin route by the family’s residence or receiving-care location, not airport pickup location alone.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MINNESOTA residence / receiving care: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route to the Minnesota receiving clinic and appropriate Minnesota public-health role.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WISCONSIN residence / receiving care: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route to the Wisconsin receiving clinic and appropriate Wisconsin public-health role.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Federal overseas classification meaning does not change across states. Use the controlled directory for contacts; do not invent deadlines, legal mandates, or contacts.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Uncertain, conflicting, or cross-border? Escalate to Selma; do not guess.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color w:val="17212B"/>
                <w:sz w:val="13"/>
              </w:rPr>
              <w:t xml:space="preserve">Share classifications only with the receiving clinical/public-health role that needs them. 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>Do not share packet diagnoses or classifications with landlords, housing staff, employers, transport providers, or other people who do not need the information.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>Use a qualified interpreter for health-related communication when needed - not a child or untrained bystander.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Say: “The overseas record contains a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Class B1 pulmonary TB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 classification requiring follow-up. I can send the record securely to the receiving role.”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Document date/status, destination role, appointment or escalation outcome, and </w:t>
            </w:r>
            <w:r>
              <w:rPr>
                <w:rFonts w:ascii="Arial" w:hAnsi="Arial" w:eastAsia="Arial"/>
                <w:b/>
                <w:color w:val="17212B"/>
                <w:sz w:val="13"/>
              </w:rPr>
              <w:t>exact packet label relayed</w:t>
            </w:r>
            <w:r>
              <w:rPr>
                <w:rFonts w:ascii="Arial" w:hAnsi="Arial" w:eastAsia="Arial"/>
                <w:b w:val="0"/>
                <w:color w:val="17212B"/>
                <w:sz w:val="13"/>
              </w:rPr>
              <w:t xml:space="preserve"> - never a caseworker diagnosis. Missed, declined, or failed connection: document, re-engage respectfully, and escalate to Selma / receiving staff.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461" w:bottom="403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color w:val="536473"/>
        <w:sz w:val="12"/>
      </w:rPr>
      <w:t>Stonebridge Board / Tanneryside arrival-support contract  |  Effective September 3 | Controlled release: replaces the interim verbal briefing  |  Clinical owner and escalation point: Selma Rutkowski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