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Brindlemere Cooperative</w:t>
        <w:br/>
        <w:t>Site budget chargeback guide</w:t>
      </w:r>
    </w:p>
    <w:p>
      <w:pPr>
        <w:spacing w:after="80"/>
      </w:pPr>
      <w:r>
        <w:rPr>
          <w:b/>
          <w:color w:val="C55A11"/>
        </w:rPr>
        <w:t>For the 22 school secretaries | Planning year 2026-27 | Submission deadline: 15 October</w:t>
      </w:r>
    </w:p>
    <w:p>
      <w:r>
        <w:t>Owner: Zeynep Almeida (rollout coordination)  •  Reviewer: Agnes Kavanagh (completed-submission review)</w:t>
      </w:r>
    </w:p>
    <w:tbl>
      <w:tblPr>
        <w:tblStyle w:val="TableGrid"/>
        <w:tblW w:type="auto" w:w="0"/>
        <w:tblLook w:firstColumn="1" w:firstRow="1" w:lastColumn="0" w:lastRow="0" w:noHBand="0" w:noVBand="1" w:val="04A0"/>
      </w:tblPr>
      <w:tblGrid>
        <w:gridCol w:w="10368"/>
      </w:tblGrid>
      <w:tr>
        <w:tc>
          <w:tcPr>
            <w:tcW w:type="dxa" w:w="10368"/>
            <w:shd w:fill="EAF2F8"/>
          </w:tcPr>
          <w:p>
            <w:r/>
            <w:r>
              <w:rPr>
                <w:b/>
              </w:rPr>
              <w:t xml:space="preserve">Purpose  </w:t>
            </w:r>
            <w:r>
              <w:t>Utilities and custodial time are now internal site chargebacks: each site budget carries its share of district utility cost and the custodial time used at that site. Use the supplied workbook as the source of truth; this guide explains what to enter and how to check it.</w:t>
            </w:r>
          </w:p>
        </w:tc>
      </w:tr>
    </w:tbl>
    <w:p>
      <w:pPr>
        <w:spacing w:after="20"/>
      </w:pPr>
    </w:p>
    <w:p>
      <w:pPr>
        <w:pStyle w:val="Heading1"/>
      </w:pPr>
      <w:r>
        <w:t>1. Gather the inputs</w:t>
      </w:r>
    </w:p>
    <w:p>
      <w:r>
        <w:t>A chargeback is an internal transfer of cost, not a new invoice. Gather the source fields below for your site. Enter inputs exactly as supplied, then calculate the outputs; do not overwrite a source input with a rounded output.</w:t>
      </w:r>
    </w:p>
    <w:tbl>
      <w:tblPr>
        <w:tblStyle w:val="TableGrid"/>
        <w:tblW w:type="auto" w:w="0"/>
        <w:jc w:val="center"/>
        <w:tblLook w:firstColumn="1" w:firstRow="1" w:lastColumn="0" w:lastRow="0" w:noHBand="0" w:noVBand="1" w:val="04A0"/>
      </w:tblPr>
      <w:tblGrid>
        <w:gridCol w:w="3456"/>
        <w:gridCol w:w="3456"/>
        <w:gridCol w:w="3456"/>
      </w:tblGrid>
      <w:tr>
        <w:tc>
          <w:tcPr>
            <w:tcW w:type="dxa" w:w="2088"/>
            <w:vAlign w:val="center"/>
            <w:shd w:fill="1F4E78"/>
          </w:tcPr>
          <w:p>
            <w:r/>
            <w:r>
              <w:rPr>
                <w:b/>
                <w:color w:val="FFFFFF"/>
              </w:rPr>
              <w:t>Input</w:t>
            </w:r>
          </w:p>
        </w:tc>
        <w:tc>
          <w:tcPr>
            <w:tcW w:type="dxa" w:w="4464"/>
            <w:vAlign w:val="center"/>
            <w:shd w:fill="1F4E78"/>
          </w:tcPr>
          <w:p>
            <w:r/>
            <w:r>
              <w:rPr>
                <w:b/>
                <w:color w:val="FFFFFF"/>
              </w:rPr>
              <w:t>Everyday meaning</w:t>
            </w:r>
          </w:p>
        </w:tc>
        <w:tc>
          <w:tcPr>
            <w:tcW w:type="dxa" w:w="3312"/>
            <w:vAlign w:val="center"/>
            <w:shd w:fill="1F4E78"/>
          </w:tcPr>
          <w:p>
            <w:r/>
            <w:r>
              <w:rPr>
                <w:b/>
                <w:color w:val="FFFFFF"/>
              </w:rPr>
              <w:t>Source basis / unit</w:t>
            </w:r>
          </w:p>
        </w:tc>
      </w:tr>
      <w:tr>
        <w:tc>
          <w:tcPr>
            <w:tcW w:type="dxa" w:w="2088"/>
            <w:vAlign w:val="center"/>
          </w:tcPr>
          <w:p>
            <w:r/>
            <w:r>
              <w:rPr>
                <w:b w:val="0"/>
              </w:rPr>
              <w:t>Site ID and site name</w:t>
            </w:r>
          </w:p>
        </w:tc>
        <w:tc>
          <w:tcPr>
            <w:tcW w:type="dxa" w:w="4464"/>
            <w:vAlign w:val="center"/>
          </w:tcPr>
          <w:p>
            <w:r/>
            <w:r>
              <w:rPr>
                <w:b w:val="0"/>
              </w:rPr>
              <w:t>Which school the budget belongs to.</w:t>
            </w:r>
          </w:p>
        </w:tc>
        <w:tc>
          <w:tcPr>
            <w:tcW w:type="dxa" w:w="3312"/>
            <w:vAlign w:val="center"/>
          </w:tcPr>
          <w:p>
            <w:r/>
            <w:r>
              <w:rPr>
                <w:b w:val="0"/>
              </w:rPr>
              <w:t>Text identifier.</w:t>
            </w:r>
          </w:p>
        </w:tc>
      </w:tr>
      <w:tr>
        <w:tc>
          <w:tcPr>
            <w:tcW w:type="dxa" w:w="2088"/>
            <w:vAlign w:val="center"/>
          </w:tcPr>
          <w:p>
            <w:r/>
            <w:r>
              <w:rPr>
                <w:b w:val="0"/>
              </w:rPr>
              <w:t>Chargeable area</w:t>
            </w:r>
          </w:p>
        </w:tc>
        <w:tc>
          <w:tcPr>
            <w:tcW w:type="dxa" w:w="4464"/>
            <w:vAlign w:val="center"/>
          </w:tcPr>
          <w:p>
            <w:r/>
            <w:r>
              <w:rPr>
                <w:b w:val="0"/>
              </w:rPr>
              <w:t>Square footage used to share district utility cost and shared services.</w:t>
            </w:r>
          </w:p>
        </w:tc>
        <w:tc>
          <w:tcPr>
            <w:tcW w:type="dxa" w:w="3312"/>
            <w:vAlign w:val="center"/>
          </w:tcPr>
          <w:p>
            <w:r/>
            <w:r>
              <w:rPr>
                <w:b w:val="0"/>
              </w:rPr>
              <w:t>Square feet (sq ft).</w:t>
            </w:r>
          </w:p>
        </w:tc>
      </w:tr>
      <w:tr>
        <w:tc>
          <w:tcPr>
            <w:tcW w:type="dxa" w:w="2088"/>
            <w:vAlign w:val="center"/>
          </w:tcPr>
          <w:p>
            <w:r/>
            <w:r>
              <w:rPr>
                <w:b w:val="0"/>
              </w:rPr>
              <w:t>District utility pool</w:t>
            </w:r>
          </w:p>
        </w:tc>
        <w:tc>
          <w:tcPr>
            <w:tcW w:type="dxa" w:w="4464"/>
            <w:vAlign w:val="center"/>
          </w:tcPr>
          <w:p>
            <w:r/>
            <w:r>
              <w:rPr>
                <w:b w:val="0"/>
              </w:rPr>
              <w:t>The total utility cost to be distributed for the planning year.</w:t>
            </w:r>
          </w:p>
        </w:tc>
        <w:tc>
          <w:tcPr>
            <w:tcW w:type="dxa" w:w="3312"/>
            <w:vAlign w:val="center"/>
          </w:tcPr>
          <w:p>
            <w:r/>
            <w:r>
              <w:rPr>
                <w:b w:val="0"/>
              </w:rPr>
              <w:t>USD / planning year.</w:t>
            </w:r>
          </w:p>
        </w:tc>
      </w:tr>
      <w:tr>
        <w:tc>
          <w:tcPr>
            <w:tcW w:type="dxa" w:w="2088"/>
            <w:vAlign w:val="center"/>
          </w:tcPr>
          <w:p>
            <w:r/>
            <w:r>
              <w:rPr>
                <w:b w:val="0"/>
              </w:rPr>
              <w:t>District chargeable area</w:t>
            </w:r>
          </w:p>
        </w:tc>
        <w:tc>
          <w:tcPr>
            <w:tcW w:type="dxa" w:w="4464"/>
            <w:vAlign w:val="center"/>
          </w:tcPr>
          <w:p>
            <w:r/>
            <w:r>
              <w:rPr>
                <w:b w:val="0"/>
              </w:rPr>
              <w:t>The denominator: total sq ft participating in the utility pool.</w:t>
            </w:r>
          </w:p>
        </w:tc>
        <w:tc>
          <w:tcPr>
            <w:tcW w:type="dxa" w:w="3312"/>
            <w:vAlign w:val="center"/>
          </w:tcPr>
          <w:p>
            <w:r/>
            <w:r>
              <w:rPr>
                <w:b w:val="0"/>
              </w:rPr>
              <w:t>Square feet (sq ft).</w:t>
            </w:r>
          </w:p>
        </w:tc>
      </w:tr>
      <w:tr>
        <w:tc>
          <w:tcPr>
            <w:tcW w:type="dxa" w:w="2088"/>
            <w:vAlign w:val="center"/>
          </w:tcPr>
          <w:p>
            <w:r/>
            <w:r>
              <w:rPr>
                <w:b w:val="0"/>
              </w:rPr>
              <w:t>Shared-services rate</w:t>
            </w:r>
          </w:p>
        </w:tc>
        <w:tc>
          <w:tcPr>
            <w:tcW w:type="dxa" w:w="4464"/>
            <w:vAlign w:val="center"/>
          </w:tcPr>
          <w:p>
            <w:r/>
            <w:r>
              <w:rPr>
                <w:b w:val="0"/>
              </w:rPr>
              <w:t>The per-square-foot rate for shared services.</w:t>
            </w:r>
          </w:p>
        </w:tc>
        <w:tc>
          <w:tcPr>
            <w:tcW w:type="dxa" w:w="3312"/>
            <w:vAlign w:val="center"/>
          </w:tcPr>
          <w:p>
            <w:r/>
            <w:r>
              <w:rPr>
                <w:b w:val="0"/>
              </w:rPr>
              <w:t>USD / sq ft.</w:t>
            </w:r>
          </w:p>
        </w:tc>
      </w:tr>
      <w:tr>
        <w:tc>
          <w:tcPr>
            <w:tcW w:type="dxa" w:w="2088"/>
            <w:vAlign w:val="center"/>
          </w:tcPr>
          <w:p>
            <w:r/>
            <w:r>
              <w:rPr>
                <w:b w:val="0"/>
              </w:rPr>
              <w:t>Custodial time</w:t>
            </w:r>
          </w:p>
        </w:tc>
        <w:tc>
          <w:tcPr>
            <w:tcW w:type="dxa" w:w="4464"/>
            <w:vAlign w:val="center"/>
          </w:tcPr>
          <w:p>
            <w:r/>
            <w:r>
              <w:rPr>
                <w:b w:val="0"/>
              </w:rPr>
              <w:t>Hours of custodial service assigned to the site.</w:t>
            </w:r>
          </w:p>
        </w:tc>
        <w:tc>
          <w:tcPr>
            <w:tcW w:type="dxa" w:w="3312"/>
            <w:vAlign w:val="center"/>
          </w:tcPr>
          <w:p>
            <w:r/>
            <w:r>
              <w:rPr>
                <w:b w:val="0"/>
              </w:rPr>
              <w:t>Hours.</w:t>
            </w:r>
          </w:p>
        </w:tc>
      </w:tr>
      <w:tr>
        <w:tc>
          <w:tcPr>
            <w:tcW w:type="dxa" w:w="2088"/>
            <w:vAlign w:val="center"/>
          </w:tcPr>
          <w:p>
            <w:r/>
            <w:r>
              <w:rPr>
                <w:b w:val="0"/>
              </w:rPr>
              <w:t>Custodial rate</w:t>
            </w:r>
          </w:p>
        </w:tc>
        <w:tc>
          <w:tcPr>
            <w:tcW w:type="dxa" w:w="4464"/>
            <w:vAlign w:val="center"/>
          </w:tcPr>
          <w:p>
            <w:r/>
            <w:r>
              <w:rPr>
                <w:b w:val="0"/>
              </w:rPr>
              <w:t>Cost per custodial hour.</w:t>
            </w:r>
          </w:p>
        </w:tc>
        <w:tc>
          <w:tcPr>
            <w:tcW w:type="dxa" w:w="3312"/>
            <w:vAlign w:val="center"/>
          </w:tcPr>
          <w:p>
            <w:r/>
            <w:r>
              <w:rPr>
                <w:b w:val="0"/>
              </w:rPr>
              <w:t>USD / hour; retain source precision.</w:t>
            </w:r>
          </w:p>
        </w:tc>
      </w:tr>
      <w:tr>
        <w:tc>
          <w:tcPr>
            <w:tcW w:type="dxa" w:w="2088"/>
            <w:vAlign w:val="center"/>
          </w:tcPr>
          <w:p>
            <w:r/>
            <w:r>
              <w:rPr>
                <w:b w:val="0"/>
              </w:rPr>
              <w:t>Prior-year true-up</w:t>
            </w:r>
          </w:p>
        </w:tc>
        <w:tc>
          <w:tcPr>
            <w:tcW w:type="dxa" w:w="4464"/>
            <w:vAlign w:val="center"/>
          </w:tcPr>
          <w:p>
            <w:r/>
            <w:r>
              <w:rPr>
                <w:b w:val="0"/>
              </w:rPr>
              <w:t>Correction from the 2025-26 close.</w:t>
            </w:r>
          </w:p>
        </w:tc>
        <w:tc>
          <w:tcPr>
            <w:tcW w:type="dxa" w:w="3312"/>
            <w:vAlign w:val="center"/>
          </w:tcPr>
          <w:p>
            <w:r/>
            <w:r>
              <w:rPr>
                <w:b w:val="0"/>
              </w:rPr>
              <w:t>USD; positive adds, negative reduces.</w:t>
            </w:r>
          </w:p>
        </w:tc>
      </w:tr>
    </w:tbl>
    <w:p>
      <w:pPr>
        <w:spacing w:after="20"/>
      </w:pPr>
    </w:p>
    <w:p>
      <w:pPr>
        <w:pStyle w:val="Heading1"/>
      </w:pPr>
      <w:r>
        <w:t>2. Build the budget in order</w:t>
      </w:r>
    </w:p>
    <w:p>
      <w:r>
        <w:t>Work in this order so every number has a visible basis. Round displayed monetary results to cents only after each component is calculated; add the displayed components for the submission total.</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center"/>
            <w:shd w:fill="1F4E78"/>
          </w:tcPr>
          <w:p>
            <w:r/>
            <w:r>
              <w:rPr>
                <w:b/>
                <w:color w:val="FFFFFF"/>
              </w:rPr>
              <w:t>Step</w:t>
            </w:r>
          </w:p>
        </w:tc>
        <w:tc>
          <w:tcPr>
            <w:tcW w:type="dxa" w:w="4464"/>
            <w:vAlign w:val="center"/>
            <w:shd w:fill="1F4E78"/>
          </w:tcPr>
          <w:p>
            <w:r/>
            <w:r>
              <w:rPr>
                <w:b/>
                <w:color w:val="FFFFFF"/>
              </w:rPr>
              <w:t>Formula</w:t>
            </w:r>
          </w:p>
        </w:tc>
        <w:tc>
          <w:tcPr>
            <w:tcW w:type="dxa" w:w="3672"/>
            <w:vAlign w:val="center"/>
            <w:shd w:fill="1F4E78"/>
          </w:tcPr>
          <w:p>
            <w:r/>
            <w:r>
              <w:rPr>
                <w:b/>
                <w:color w:val="FFFFFF"/>
              </w:rPr>
              <w:t>What to enter / retain</w:t>
            </w:r>
          </w:p>
        </w:tc>
      </w:tr>
      <w:tr>
        <w:tc>
          <w:tcPr>
            <w:tcW w:type="dxa" w:w="1728"/>
            <w:vAlign w:val="center"/>
          </w:tcPr>
          <w:p>
            <w:r/>
            <w:r>
              <w:rPr>
                <w:b w:val="0"/>
              </w:rPr>
              <w:t>1. Utility allocation</w:t>
            </w:r>
          </w:p>
        </w:tc>
        <w:tc>
          <w:tcPr>
            <w:tcW w:type="dxa" w:w="4464"/>
            <w:vAlign w:val="center"/>
          </w:tcPr>
          <w:p>
            <w:r/>
            <w:r>
              <w:rPr>
                <w:b w:val="0"/>
              </w:rPr>
              <w:t>Site sq ft ÷ district chargeable sq ft × district utility pool</w:t>
            </w:r>
          </w:p>
        </w:tc>
        <w:tc>
          <w:tcPr>
            <w:tcW w:type="dxa" w:w="3672"/>
            <w:vAlign w:val="center"/>
          </w:tcPr>
          <w:p>
            <w:r/>
            <w:r>
              <w:rPr>
                <w:b w:val="0"/>
              </w:rPr>
              <w:t>Keep the square-footage driver and the district denominator visible.</w:t>
            </w:r>
          </w:p>
        </w:tc>
      </w:tr>
      <w:tr>
        <w:tc>
          <w:tcPr>
            <w:tcW w:type="dxa" w:w="1728"/>
            <w:vAlign w:val="center"/>
          </w:tcPr>
          <w:p>
            <w:r/>
            <w:r>
              <w:rPr>
                <w:b w:val="0"/>
              </w:rPr>
              <w:t>2. Shared-services charge</w:t>
            </w:r>
          </w:p>
        </w:tc>
        <w:tc>
          <w:tcPr>
            <w:tcW w:type="dxa" w:w="4464"/>
            <w:vAlign w:val="center"/>
          </w:tcPr>
          <w:p>
            <w:r/>
            <w:r>
              <w:rPr>
                <w:b w:val="0"/>
              </w:rPr>
              <w:t>Site sq ft × shared-services rate</w:t>
            </w:r>
          </w:p>
        </w:tc>
        <w:tc>
          <w:tcPr>
            <w:tcW w:type="dxa" w:w="3672"/>
            <w:vAlign w:val="center"/>
          </w:tcPr>
          <w:p>
            <w:r/>
            <w:r>
              <w:rPr>
                <w:b w:val="0"/>
              </w:rPr>
              <w:t>Rate is USD per sq ft; do not convert it to a percentage.</w:t>
            </w:r>
          </w:p>
        </w:tc>
      </w:tr>
      <w:tr>
        <w:tc>
          <w:tcPr>
            <w:tcW w:type="dxa" w:w="1728"/>
            <w:vAlign w:val="center"/>
          </w:tcPr>
          <w:p>
            <w:r/>
            <w:r>
              <w:rPr>
                <w:b w:val="0"/>
              </w:rPr>
              <w:t>3. Custodial-time charge</w:t>
            </w:r>
          </w:p>
        </w:tc>
        <w:tc>
          <w:tcPr>
            <w:tcW w:type="dxa" w:w="4464"/>
            <w:vAlign w:val="center"/>
          </w:tcPr>
          <w:p>
            <w:r/>
            <w:r>
              <w:rPr>
                <w:b w:val="0"/>
              </w:rPr>
              <w:t>Custodial hours × custodial rate</w:t>
            </w:r>
          </w:p>
        </w:tc>
        <w:tc>
          <w:tcPr>
            <w:tcW w:type="dxa" w:w="3672"/>
            <w:vAlign w:val="center"/>
          </w:tcPr>
          <w:p>
            <w:r/>
            <w:r>
              <w:rPr>
                <w:b w:val="0"/>
              </w:rPr>
              <w:t>Keep hours and USD/hour together.</w:t>
            </w:r>
          </w:p>
        </w:tc>
      </w:tr>
      <w:tr>
        <w:tc>
          <w:tcPr>
            <w:tcW w:type="dxa" w:w="1728"/>
            <w:vAlign w:val="center"/>
          </w:tcPr>
          <w:p>
            <w:r/>
            <w:r>
              <w:rPr>
                <w:b w:val="0"/>
              </w:rPr>
              <w:t>4. Prior-year true-up</w:t>
            </w:r>
          </w:p>
        </w:tc>
        <w:tc>
          <w:tcPr>
            <w:tcW w:type="dxa" w:w="4464"/>
            <w:vAlign w:val="center"/>
          </w:tcPr>
          <w:p>
            <w:r/>
            <w:r>
              <w:rPr>
                <w:b w:val="0"/>
              </w:rPr>
              <w:t>Use the signed true-up amount once</w:t>
            </w:r>
          </w:p>
        </w:tc>
        <w:tc>
          <w:tcPr>
            <w:tcW w:type="dxa" w:w="3672"/>
            <w:vAlign w:val="center"/>
          </w:tcPr>
          <w:p>
            <w:r/>
            <w:r>
              <w:rPr>
                <w:b w:val="0"/>
              </w:rPr>
              <w:t>Positive = add; negative = subtract. Period is 2025-26 close.</w:t>
            </w:r>
          </w:p>
        </w:tc>
      </w:tr>
      <w:tr>
        <w:tc>
          <w:tcPr>
            <w:tcW w:type="dxa" w:w="1728"/>
            <w:vAlign w:val="center"/>
          </w:tcPr>
          <w:p>
            <w:r/>
            <w:r>
              <w:rPr>
                <w:b w:val="0"/>
              </w:rPr>
              <w:t>5. Submission total</w:t>
            </w:r>
          </w:p>
        </w:tc>
        <w:tc>
          <w:tcPr>
            <w:tcW w:type="dxa" w:w="4464"/>
            <w:vAlign w:val="center"/>
          </w:tcPr>
          <w:p>
            <w:r/>
            <w:r>
              <w:rPr>
                <w:b w:val="0"/>
              </w:rPr>
              <w:t>Utility + shared services + custodial + true-up</w:t>
            </w:r>
          </w:p>
        </w:tc>
        <w:tc>
          <w:tcPr>
            <w:tcW w:type="dxa" w:w="3672"/>
            <w:vAlign w:val="center"/>
          </w:tcPr>
          <w:p>
            <w:r/>
            <w:r>
              <w:rPr>
                <w:b w:val="0"/>
              </w:rPr>
              <w:t>Sum the rounded displayed components, and retain the unrounded support calculation.</w:t>
            </w:r>
          </w:p>
        </w:tc>
      </w:tr>
    </w:tbl>
    <w:p>
      <w:pPr>
        <w:spacing w:after="20"/>
      </w:pPr>
    </w:p>
    <w:tbl>
      <w:tblPr>
        <w:tblStyle w:val="TableGrid"/>
        <w:tblW w:type="auto" w:w="0"/>
        <w:tblLook w:firstColumn="1" w:firstRow="1" w:lastColumn="0" w:lastRow="0" w:noHBand="0" w:noVBand="1" w:val="04A0"/>
      </w:tblPr>
      <w:tblGrid>
        <w:gridCol w:w="10368"/>
      </w:tblGrid>
      <w:tr>
        <w:tc>
          <w:tcPr>
            <w:tcW w:type="dxa" w:w="10368"/>
            <w:shd w:fill="FFF2CC"/>
          </w:tcPr>
          <w:p>
            <w:r/>
            <w:r>
              <w:rPr>
                <w:b/>
              </w:rPr>
              <w:t xml:space="preserve">Rounding convention  </w:t>
            </w:r>
            <w:r>
              <w:t>Carry full source precision through multiplication. Display each dollar component and the final total to 2 decimals. A difference of a cent from adding unrounded values is rounding noise; investigate anything larger.</w:t>
            </w:r>
          </w:p>
        </w:tc>
      </w:tr>
    </w:tbl>
    <w:p>
      <w:pPr>
        <w:spacing w:after="20"/>
      </w:pPr>
    </w:p>
    <w:p>
      <w:pPr>
        <w:pStyle w:val="Heading1"/>
      </w:pPr>
      <w:r>
        <w:t>3. Worked example: BR-01 Brindlemere Elementary</w:t>
      </w:r>
    </w:p>
    <w:p>
      <w:r>
        <w:t>This is one complete site row from the workbook. The figures below are source values, not estimates.</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center"/>
            <w:shd w:fill="1F4E78"/>
          </w:tcPr>
          <w:p>
            <w:r/>
            <w:r>
              <w:rPr>
                <w:b/>
                <w:color w:val="FFFFFF"/>
              </w:rPr>
              <w:t>Source input</w:t>
            </w:r>
          </w:p>
        </w:tc>
        <w:tc>
          <w:tcPr>
            <w:tcW w:type="dxa" w:w="2448"/>
            <w:vAlign w:val="center"/>
            <w:shd w:fill="1F4E78"/>
          </w:tcPr>
          <w:p>
            <w:r/>
            <w:r>
              <w:rPr>
                <w:b/>
                <w:color w:val="FFFFFF"/>
              </w:rPr>
              <w:t>Value</w:t>
            </w:r>
          </w:p>
        </w:tc>
        <w:tc>
          <w:tcPr>
            <w:tcW w:type="dxa" w:w="4824"/>
            <w:vAlign w:val="center"/>
            <w:shd w:fill="1F4E78"/>
          </w:tcPr>
          <w:p>
            <w:r/>
            <w:r>
              <w:rPr>
                <w:b/>
                <w:color w:val="FFFFFF"/>
              </w:rPr>
              <w:t>Unit / note</w:t>
            </w:r>
          </w:p>
        </w:tc>
      </w:tr>
      <w:tr>
        <w:tc>
          <w:tcPr>
            <w:tcW w:type="dxa" w:w="2592"/>
            <w:vAlign w:val="center"/>
          </w:tcPr>
          <w:p>
            <w:r/>
            <w:r>
              <w:rPr>
                <w:b w:val="0"/>
              </w:rPr>
              <w:t>Chargeable area</w:t>
            </w:r>
          </w:p>
        </w:tc>
        <w:tc>
          <w:tcPr>
            <w:tcW w:type="dxa" w:w="2448"/>
            <w:vAlign w:val="center"/>
          </w:tcPr>
          <w:p>
            <w:r/>
            <w:r>
              <w:rPr>
                <w:b w:val="0"/>
              </w:rPr>
              <w:t>48,250</w:t>
            </w:r>
          </w:p>
        </w:tc>
        <w:tc>
          <w:tcPr>
            <w:tcW w:type="dxa" w:w="4824"/>
            <w:vAlign w:val="center"/>
          </w:tcPr>
          <w:p>
            <w:r/>
            <w:r>
              <w:rPr>
                <w:b w:val="0"/>
              </w:rPr>
              <w:t>sq ft</w:t>
            </w:r>
          </w:p>
        </w:tc>
      </w:tr>
      <w:tr>
        <w:tc>
          <w:tcPr>
            <w:tcW w:type="dxa" w:w="2592"/>
            <w:vAlign w:val="center"/>
          </w:tcPr>
          <w:p>
            <w:r/>
            <w:r>
              <w:rPr>
                <w:b w:val="0"/>
              </w:rPr>
              <w:t>District chargeable area</w:t>
            </w:r>
          </w:p>
        </w:tc>
        <w:tc>
          <w:tcPr>
            <w:tcW w:type="dxa" w:w="2448"/>
            <w:vAlign w:val="center"/>
          </w:tcPr>
          <w:p>
            <w:r/>
            <w:r>
              <w:rPr>
                <w:b w:val="0"/>
              </w:rPr>
              <w:t>412,500</w:t>
            </w:r>
          </w:p>
        </w:tc>
        <w:tc>
          <w:tcPr>
            <w:tcW w:type="dxa" w:w="4824"/>
            <w:vAlign w:val="center"/>
          </w:tcPr>
          <w:p>
            <w:r/>
            <w:r>
              <w:rPr>
                <w:b w:val="0"/>
              </w:rPr>
              <w:t>sq ft (utility denominator)</w:t>
            </w:r>
          </w:p>
        </w:tc>
      </w:tr>
      <w:tr>
        <w:tc>
          <w:tcPr>
            <w:tcW w:type="dxa" w:w="2592"/>
            <w:vAlign w:val="center"/>
          </w:tcPr>
          <w:p>
            <w:r/>
            <w:r>
              <w:rPr>
                <w:b w:val="0"/>
              </w:rPr>
              <w:t>District utility pool</w:t>
            </w:r>
          </w:p>
        </w:tc>
        <w:tc>
          <w:tcPr>
            <w:tcW w:type="dxa" w:w="2448"/>
            <w:vAlign w:val="center"/>
          </w:tcPr>
          <w:p>
            <w:r/>
            <w:r>
              <w:rPr>
                <w:b w:val="0"/>
              </w:rPr>
              <w:t>$186,400.00</w:t>
            </w:r>
          </w:p>
        </w:tc>
        <w:tc>
          <w:tcPr>
            <w:tcW w:type="dxa" w:w="4824"/>
            <w:vAlign w:val="center"/>
          </w:tcPr>
          <w:p>
            <w:r/>
            <w:r>
              <w:rPr>
                <w:b w:val="0"/>
              </w:rPr>
              <w:t>USD / planning year</w:t>
            </w:r>
          </w:p>
        </w:tc>
      </w:tr>
      <w:tr>
        <w:tc>
          <w:tcPr>
            <w:tcW w:type="dxa" w:w="2592"/>
            <w:vAlign w:val="center"/>
          </w:tcPr>
          <w:p>
            <w:r/>
            <w:r>
              <w:rPr>
                <w:b w:val="0"/>
              </w:rPr>
              <w:t>Shared-services rate</w:t>
            </w:r>
          </w:p>
        </w:tc>
        <w:tc>
          <w:tcPr>
            <w:tcW w:type="dxa" w:w="2448"/>
            <w:vAlign w:val="center"/>
          </w:tcPr>
          <w:p>
            <w:r/>
            <w:r>
              <w:rPr>
                <w:b w:val="0"/>
              </w:rPr>
              <w:t>$0.42</w:t>
            </w:r>
          </w:p>
        </w:tc>
        <w:tc>
          <w:tcPr>
            <w:tcW w:type="dxa" w:w="4824"/>
            <w:vAlign w:val="center"/>
          </w:tcPr>
          <w:p>
            <w:r/>
            <w:r>
              <w:rPr>
                <w:b w:val="0"/>
              </w:rPr>
              <w:t>USD / sq ft</w:t>
            </w:r>
          </w:p>
        </w:tc>
      </w:tr>
      <w:tr>
        <w:tc>
          <w:tcPr>
            <w:tcW w:type="dxa" w:w="2592"/>
            <w:vAlign w:val="center"/>
          </w:tcPr>
          <w:p>
            <w:r/>
            <w:r>
              <w:rPr>
                <w:b w:val="0"/>
              </w:rPr>
              <w:t>Custodial time</w:t>
            </w:r>
          </w:p>
        </w:tc>
        <w:tc>
          <w:tcPr>
            <w:tcW w:type="dxa" w:w="2448"/>
            <w:vAlign w:val="center"/>
          </w:tcPr>
          <w:p>
            <w:r/>
            <w:r>
              <w:rPr>
                <w:b w:val="0"/>
              </w:rPr>
              <w:t>1,842.50</w:t>
            </w:r>
          </w:p>
        </w:tc>
        <w:tc>
          <w:tcPr>
            <w:tcW w:type="dxa" w:w="4824"/>
            <w:vAlign w:val="center"/>
          </w:tcPr>
          <w:p>
            <w:r/>
            <w:r>
              <w:rPr>
                <w:b w:val="0"/>
              </w:rPr>
              <w:t>hours</w:t>
            </w:r>
          </w:p>
        </w:tc>
      </w:tr>
      <w:tr>
        <w:tc>
          <w:tcPr>
            <w:tcW w:type="dxa" w:w="2592"/>
            <w:vAlign w:val="center"/>
          </w:tcPr>
          <w:p>
            <w:r/>
            <w:r>
              <w:rPr>
                <w:b w:val="0"/>
              </w:rPr>
              <w:t>Custodial rate</w:t>
            </w:r>
          </w:p>
        </w:tc>
        <w:tc>
          <w:tcPr>
            <w:tcW w:type="dxa" w:w="2448"/>
            <w:vAlign w:val="center"/>
          </w:tcPr>
          <w:p>
            <w:r/>
            <w:r>
              <w:rPr>
                <w:b w:val="0"/>
              </w:rPr>
              <w:t>$24.7500000001</w:t>
            </w:r>
          </w:p>
        </w:tc>
        <w:tc>
          <w:tcPr>
            <w:tcW w:type="dxa" w:w="4824"/>
            <w:vAlign w:val="center"/>
          </w:tcPr>
          <w:p>
            <w:r/>
            <w:r>
              <w:rPr>
                <w:b w:val="0"/>
              </w:rPr>
              <w:t>USD / hour; source precision retained</w:t>
            </w:r>
          </w:p>
        </w:tc>
      </w:tr>
      <w:tr>
        <w:tc>
          <w:tcPr>
            <w:tcW w:type="dxa" w:w="2592"/>
            <w:vAlign w:val="center"/>
          </w:tcPr>
          <w:p>
            <w:r/>
            <w:r>
              <w:rPr>
                <w:b w:val="0"/>
              </w:rPr>
              <w:t>Prior-year true-up</w:t>
            </w:r>
          </w:p>
        </w:tc>
        <w:tc>
          <w:tcPr>
            <w:tcW w:type="dxa" w:w="2448"/>
            <w:vAlign w:val="center"/>
          </w:tcPr>
          <w:p>
            <w:r/>
            <w:r>
              <w:rPr>
                <w:b w:val="0"/>
              </w:rPr>
              <w:t>+$1,250.00</w:t>
            </w:r>
          </w:p>
        </w:tc>
        <w:tc>
          <w:tcPr>
            <w:tcW w:type="dxa" w:w="4824"/>
            <w:vAlign w:val="center"/>
          </w:tcPr>
          <w:p>
            <w:r/>
            <w:r>
              <w:rPr>
                <w:b w:val="0"/>
              </w:rPr>
              <w:t>USD; 2025-26 close</w:t>
            </w:r>
          </w:p>
        </w:tc>
      </w:tr>
    </w:tbl>
    <w:p>
      <w:pPr>
        <w:spacing w:after="20"/>
      </w:pPr>
    </w:p>
    <w:p>
      <w:r>
        <w:rPr>
          <w:b/>
        </w:rPr>
        <w:t>Reproduce the arithmetic:</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center"/>
            <w:shd w:fill="1F4E78"/>
          </w:tcPr>
          <w:p>
            <w:r/>
            <w:r>
              <w:rPr>
                <w:b/>
                <w:color w:val="FFFFFF"/>
              </w:rPr>
              <w:t>Component</w:t>
            </w:r>
          </w:p>
        </w:tc>
        <w:tc>
          <w:tcPr>
            <w:tcW w:type="dxa" w:w="4752"/>
            <w:vAlign w:val="center"/>
            <w:shd w:fill="1F4E78"/>
          </w:tcPr>
          <w:p>
            <w:r/>
            <w:r>
              <w:rPr>
                <w:b/>
                <w:color w:val="FFFFFF"/>
              </w:rPr>
              <w:t>Calculation</w:t>
            </w:r>
          </w:p>
        </w:tc>
        <w:tc>
          <w:tcPr>
            <w:tcW w:type="dxa" w:w="2664"/>
            <w:vAlign w:val="center"/>
            <w:shd w:fill="1F4E78"/>
          </w:tcPr>
          <w:p>
            <w:r/>
            <w:r>
              <w:rPr>
                <w:b/>
                <w:color w:val="FFFFFF"/>
              </w:rPr>
              <w:t>Displayed result</w:t>
            </w:r>
          </w:p>
        </w:tc>
      </w:tr>
      <w:tr>
        <w:tc>
          <w:tcPr>
            <w:tcW w:type="dxa" w:w="2448"/>
            <w:vAlign w:val="center"/>
          </w:tcPr>
          <w:p>
            <w:r/>
            <w:r>
              <w:rPr>
                <w:b w:val="0"/>
              </w:rPr>
              <w:t>Utility allocation</w:t>
            </w:r>
          </w:p>
        </w:tc>
        <w:tc>
          <w:tcPr>
            <w:tcW w:type="dxa" w:w="4752"/>
            <w:vAlign w:val="center"/>
          </w:tcPr>
          <w:p>
            <w:r/>
            <w:r>
              <w:rPr>
                <w:b w:val="0"/>
              </w:rPr>
              <w:t>48,250 ÷ 412,500 × $186,400.00</w:t>
            </w:r>
          </w:p>
        </w:tc>
        <w:tc>
          <w:tcPr>
            <w:tcW w:type="dxa" w:w="2664"/>
            <w:vAlign w:val="center"/>
          </w:tcPr>
          <w:p>
            <w:r/>
            <w:r>
              <w:rPr>
                <w:b w:val="0"/>
              </w:rPr>
              <w:t>$21,803.1515… → $21,803.15</w:t>
            </w:r>
          </w:p>
        </w:tc>
      </w:tr>
      <w:tr>
        <w:tc>
          <w:tcPr>
            <w:tcW w:type="dxa" w:w="2448"/>
            <w:vAlign w:val="center"/>
          </w:tcPr>
          <w:p>
            <w:r/>
            <w:r>
              <w:rPr>
                <w:b w:val="0"/>
              </w:rPr>
              <w:t>Shared-services charge</w:t>
            </w:r>
          </w:p>
        </w:tc>
        <w:tc>
          <w:tcPr>
            <w:tcW w:type="dxa" w:w="4752"/>
            <w:vAlign w:val="center"/>
          </w:tcPr>
          <w:p>
            <w:r/>
            <w:r>
              <w:rPr>
                <w:b w:val="0"/>
              </w:rPr>
              <w:t>48,250 sq ft × $0.42 / sq ft</w:t>
            </w:r>
          </w:p>
        </w:tc>
        <w:tc>
          <w:tcPr>
            <w:tcW w:type="dxa" w:w="2664"/>
            <w:vAlign w:val="center"/>
          </w:tcPr>
          <w:p>
            <w:r/>
            <w:r>
              <w:rPr>
                <w:b w:val="0"/>
              </w:rPr>
              <w:t>$20,265.00</w:t>
            </w:r>
          </w:p>
        </w:tc>
      </w:tr>
      <w:tr>
        <w:tc>
          <w:tcPr>
            <w:tcW w:type="dxa" w:w="2448"/>
            <w:vAlign w:val="center"/>
          </w:tcPr>
          <w:p>
            <w:r/>
            <w:r>
              <w:rPr>
                <w:b w:val="0"/>
              </w:rPr>
              <w:t>Custodial-time charge</w:t>
            </w:r>
          </w:p>
        </w:tc>
        <w:tc>
          <w:tcPr>
            <w:tcW w:type="dxa" w:w="4752"/>
            <w:vAlign w:val="center"/>
          </w:tcPr>
          <w:p>
            <w:r/>
            <w:r>
              <w:rPr>
                <w:b w:val="0"/>
              </w:rPr>
              <w:t>1,842.50 hours × $24.7500000001 / hour</w:t>
            </w:r>
          </w:p>
        </w:tc>
        <w:tc>
          <w:tcPr>
            <w:tcW w:type="dxa" w:w="2664"/>
            <w:vAlign w:val="center"/>
          </w:tcPr>
          <w:p>
            <w:r/>
            <w:r>
              <w:rPr>
                <w:b w:val="0"/>
              </w:rPr>
              <w:t>$45,601.8750… → $45,601.88</w:t>
            </w:r>
          </w:p>
        </w:tc>
      </w:tr>
      <w:tr>
        <w:tc>
          <w:tcPr>
            <w:tcW w:type="dxa" w:w="2448"/>
            <w:vAlign w:val="center"/>
          </w:tcPr>
          <w:p>
            <w:r/>
            <w:r>
              <w:rPr>
                <w:b w:val="0"/>
              </w:rPr>
              <w:t>Prior-year true-up</w:t>
            </w:r>
          </w:p>
        </w:tc>
        <w:tc>
          <w:tcPr>
            <w:tcW w:type="dxa" w:w="4752"/>
            <w:vAlign w:val="center"/>
          </w:tcPr>
          <w:p>
            <w:r/>
            <w:r>
              <w:rPr>
                <w:b w:val="0"/>
              </w:rPr>
              <w:t>+$1,250.00</w:t>
            </w:r>
          </w:p>
        </w:tc>
        <w:tc>
          <w:tcPr>
            <w:tcW w:type="dxa" w:w="2664"/>
            <w:vAlign w:val="center"/>
          </w:tcPr>
          <w:p>
            <w:r/>
            <w:r>
              <w:rPr>
                <w:b w:val="0"/>
              </w:rPr>
              <w:t>$1,250.00 added</w:t>
            </w:r>
          </w:p>
        </w:tc>
      </w:tr>
      <w:tr>
        <w:tc>
          <w:tcPr>
            <w:tcW w:type="dxa" w:w="2448"/>
            <w:vAlign w:val="center"/>
          </w:tcPr>
          <w:p>
            <w:r/>
            <w:r>
              <w:rPr>
                <w:b w:val="0"/>
              </w:rPr>
              <w:t>Submission total</w:t>
            </w:r>
          </w:p>
        </w:tc>
        <w:tc>
          <w:tcPr>
            <w:tcW w:type="dxa" w:w="4752"/>
            <w:vAlign w:val="center"/>
          </w:tcPr>
          <w:p>
            <w:r/>
            <w:r>
              <w:rPr>
                <w:b w:val="0"/>
              </w:rPr>
              <w:t>$21,803.15 + $20,265.00 + $45,601.88 + $1,250.00</w:t>
            </w:r>
          </w:p>
        </w:tc>
        <w:tc>
          <w:tcPr>
            <w:tcW w:type="dxa" w:w="2664"/>
            <w:vAlign w:val="center"/>
          </w:tcPr>
          <w:p>
            <w:r/>
            <w:r>
              <w:rPr>
                <w:b w:val="0"/>
              </w:rPr>
              <w:t>$88,920.03</w:t>
            </w:r>
          </w:p>
        </w:tc>
      </w:tr>
    </w:tbl>
    <w:p>
      <w:pPr>
        <w:spacing w:after="20"/>
      </w:pPr>
    </w:p>
    <w:tbl>
      <w:tblPr>
        <w:tblStyle w:val="TableGrid"/>
        <w:tblW w:type="auto" w:w="0"/>
        <w:tblLook w:firstColumn="1" w:firstRow="1" w:lastColumn="0" w:lastRow="0" w:noHBand="0" w:noVBand="1" w:val="04A0"/>
      </w:tblPr>
      <w:tblGrid>
        <w:gridCol w:w="10368"/>
      </w:tblGrid>
      <w:tr>
        <w:tc>
          <w:tcPr>
            <w:tcW w:type="dxa" w:w="10368"/>
            <w:shd w:fill="FCE4D6"/>
          </w:tcPr>
          <w:p>
            <w:r/>
            <w:r>
              <w:rPr>
                <w:b/>
              </w:rPr>
              <w:t xml:space="preserve">Audit trail  </w:t>
            </w:r>
            <w:r>
              <w:t>The source residual-check cell is not a business input and is excluded. Recalculate from the valid fields above. The custodial rate is shown with its source precision; economically, it is the same as $24.75/hour within a fraction of a cent.</w:t>
            </w:r>
          </w:p>
        </w:tc>
      </w:tr>
    </w:tbl>
    <w:p>
      <w:pPr>
        <w:spacing w:after="20"/>
      </w:pPr>
    </w:p>
    <w:p>
      <w:pPr>
        <w:pStyle w:val="Heading1"/>
      </w:pPr>
      <w:r>
        <w:t>4. Exceptions and professional judgment</w:t>
      </w:r>
    </w:p>
    <w:p>
      <w:r>
        <w:t>The export includes one site with 0 sq ft and 0 hours. When the utility denominator is zero, a percentage allocation cannot be calculated. Convention used in this guide: record the utility allocation as $0.00 only when both the denominator and the site area are zero, leave the shared-services and custodial charges at $0.00 when their source drivers are zero, and flag the row for Zeynep Almeida before submission. Do not invent activity or redistribute another site’s cost.</w:t>
      </w:r>
    </w:p>
    <w:p>
      <w:r>
        <w:t>For any other incomplete-looking row (blank rate, blank hours, unexplained blank, or an area that does not belong to the district total), stop and mark it “needs source confirmation.” Attach the row and your recalculation to the escalation; never fill a blank just to make the total balance.</w:t>
      </w:r>
    </w:p>
    <w:p>
      <w:pPr>
        <w:pStyle w:val="Heading1"/>
      </w:pPr>
      <w:r>
        <w:t>5. Pre-submission checks</w:t>
      </w:r>
    </w:p>
    <w:p>
      <w:pPr>
        <w:pStyle w:val="ListBullet"/>
        <w:spacing w:after="20"/>
      </w:pPr>
      <w:r>
        <w:t>Units: label every amount as USD, every driver as sq ft, and custodial time as hours; confirm the custodial rate is USD/hour.</w:t>
      </w:r>
    </w:p>
    <w:p>
      <w:pPr>
        <w:pStyle w:val="ListBullet"/>
        <w:spacing w:after="20"/>
      </w:pPr>
      <w:r>
        <w:t>Square footage: add the participating site areas and compare the total to the source district chargeable area of 412,500 sq ft. Recalculate the utility denominator; do not merely copy it.</w:t>
      </w:r>
    </w:p>
    <w:p>
      <w:pPr>
        <w:pStyle w:val="ListBullet"/>
        <w:spacing w:after="20"/>
      </w:pPr>
      <w:r>
        <w:t>Rates: verify the shared-services rate is applied per sq ft and the custodial rate per hour. Preserve source precision or document any business rounding.</w:t>
      </w:r>
    </w:p>
    <w:p>
      <w:pPr>
        <w:pStyle w:val="ListBullet"/>
        <w:spacing w:after="20"/>
      </w:pPr>
      <w:r>
        <w:t>True-up: confirm the 2025-26 close period and sign. A positive amount increases the submission; a negative amount decreases it.</w:t>
      </w:r>
    </w:p>
    <w:p>
      <w:pPr>
        <w:pStyle w:val="ListBullet"/>
        <w:spacing w:after="20"/>
      </w:pPr>
      <w:r>
        <w:t>Blanks and exceptions: explain every blank. Check the zero-denominator convention and flag it for review.</w:t>
      </w:r>
    </w:p>
    <w:p>
      <w:pPr>
        <w:pStyle w:val="ListBullet"/>
        <w:spacing w:after="20"/>
      </w:pPr>
      <w:r>
        <w:t>Reasonableness: compare each component to its driver (area, hours, or signed true-up), recompute the sum, and confirm the final total is not driven by an unexplained residual.</w:t>
      </w:r>
    </w:p>
    <w:p>
      <w:pPr>
        <w:pStyle w:val="Heading1"/>
      </w:pPr>
      <w:r>
        <w:t>6. Jurisdiction requirements</w:t>
      </w:r>
    </w:p>
    <w:p>
      <w:r>
        <w:t>Use the row that matches the site’s administration. The chargeback math is the same; the required submission items differ as follows.</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center"/>
            <w:shd w:fill="1F4E78"/>
          </w:tcPr>
          <w:p>
            <w:r/>
            <w:r>
              <w:rPr>
                <w:b/>
                <w:color w:val="FFFFFF"/>
              </w:rPr>
              <w:t>Case</w:t>
            </w:r>
          </w:p>
        </w:tc>
        <w:tc>
          <w:tcPr>
            <w:tcW w:type="dxa" w:w="5328"/>
            <w:vAlign w:val="center"/>
            <w:shd w:fill="1F4E78"/>
          </w:tcPr>
          <w:p>
            <w:r/>
            <w:r>
              <w:rPr>
                <w:b/>
                <w:color w:val="FFFFFF"/>
              </w:rPr>
              <w:t>Requirement from source</w:t>
            </w:r>
          </w:p>
        </w:tc>
        <w:tc>
          <w:tcPr>
            <w:tcW w:type="dxa" w:w="2376"/>
            <w:vAlign w:val="center"/>
            <w:shd w:fill="1F4E78"/>
          </w:tcPr>
          <w:p>
            <w:r/>
            <w:r>
              <w:rPr>
                <w:b/>
                <w:color w:val="FFFFFF"/>
              </w:rPr>
              <w:t>Use this when…</w:t>
            </w:r>
          </w:p>
        </w:tc>
      </w:tr>
      <w:tr>
        <w:tc>
          <w:tcPr>
            <w:tcW w:type="dxa" w:w="2160"/>
            <w:vAlign w:val="center"/>
          </w:tcPr>
          <w:p>
            <w:r/>
            <w:r>
              <w:rPr>
                <w:b w:val="0"/>
              </w:rPr>
              <w:t>Northgale Media</w:t>
            </w:r>
          </w:p>
        </w:tc>
        <w:tc>
          <w:tcPr>
            <w:tcW w:type="dxa" w:w="5328"/>
            <w:vAlign w:val="center"/>
          </w:tcPr>
          <w:p>
            <w:r/>
            <w:r>
              <w:rPr>
                <w:b w:val="0"/>
              </w:rPr>
              <w:t>Submit the site budget workbook, utility allocation, custodial hours and rate, prior-year true-up, and coordinator sign-off.</w:t>
            </w:r>
          </w:p>
        </w:tc>
        <w:tc>
          <w:tcPr>
            <w:tcW w:type="dxa" w:w="2376"/>
            <w:vAlign w:val="center"/>
          </w:tcPr>
          <w:p>
            <w:r/>
            <w:r>
              <w:rPr>
                <w:b w:val="0"/>
              </w:rPr>
              <w:t>The site is administered under Northgale Media jurisdiction.</w:t>
            </w:r>
          </w:p>
        </w:tc>
      </w:tr>
      <w:tr>
        <w:tc>
          <w:tcPr>
            <w:tcW w:type="dxa" w:w="2160"/>
            <w:vAlign w:val="center"/>
          </w:tcPr>
          <w:p>
            <w:r/>
            <w:r>
              <w:rPr>
                <w:b w:val="0"/>
              </w:rPr>
              <w:t>Quillhaven Advisory</w:t>
            </w:r>
          </w:p>
        </w:tc>
        <w:tc>
          <w:tcPr>
            <w:tcW w:type="dxa" w:w="5328"/>
            <w:vAlign w:val="center"/>
          </w:tcPr>
          <w:p>
            <w:r/>
            <w:r>
              <w:rPr>
                <w:b w:val="0"/>
              </w:rPr>
              <w:t>Submit the site budget workbook, utility allocation, shared-services charge, custodial hours and rate, and prior-year true-up.</w:t>
            </w:r>
          </w:p>
        </w:tc>
        <w:tc>
          <w:tcPr>
            <w:tcW w:type="dxa" w:w="2376"/>
            <w:vAlign w:val="center"/>
          </w:tcPr>
          <w:p>
            <w:r/>
            <w:r>
              <w:rPr>
                <w:b w:val="0"/>
              </w:rPr>
              <w:t>The site is administered under Quillhaven Advisory jurisdiction.</w:t>
            </w:r>
          </w:p>
        </w:tc>
      </w:tr>
    </w:tbl>
    <w:p>
      <w:pPr>
        <w:spacing w:after="20"/>
      </w:pPr>
    </w:p>
    <w:p>
      <w:r>
        <w:t>Do not blend the two lists or add an approval, threshold, or deadline that is not in the source. The common district deadline remains 15 October.</w:t>
      </w:r>
    </w:p>
    <w:p>
      <w:pPr>
        <w:pStyle w:val="Heading1"/>
      </w:pPr>
      <w:r>
        <w:t>7. Submission and reconciliation path</w:t>
      </w:r>
    </w:p>
    <w:p>
      <w:r>
        <w:t>Submit the completed site budget to the Operations delivery team by 15 October. Zeynep Almeida coordinates rollout questions and exceptions; Agnes Kavanagh reviews completed submissions.</w:t>
      </w:r>
    </w:p>
    <w:p>
      <w:pPr>
        <w:pStyle w:val="ListBullet"/>
        <w:spacing w:after="20"/>
      </w:pPr>
      <w:r>
        <w:t>If your total does not reconcile, stop submission and recompute each component from the source fields and units.</w:t>
      </w:r>
    </w:p>
    <w:p>
      <w:pPr>
        <w:pStyle w:val="ListBullet"/>
        <w:spacing w:after="20"/>
      </w:pPr>
      <w:r>
        <w:t>Mark the exact row or input that differs, attach the arithmetic, and send it to Zeynep Almeida for coordination.</w:t>
      </w:r>
    </w:p>
    <w:p>
      <w:pPr>
        <w:pStyle w:val="ListBullet"/>
        <w:spacing w:after="20"/>
      </w:pPr>
      <w:r>
        <w:t>Do not replace a missing value or force a balancing number. After Zeynep confirms the source treatment, update the calculation and resubmit to Agnes Kavanagh for review.</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Brindlemere Cooperative | Site budget chargeback guide | 15 October deadline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