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Kestrelbank Standards Institute</w:t>
      </w:r>
    </w:p>
    <w:p>
      <w:pPr>
        <w:pStyle w:val="Subtitle"/>
      </w:pPr>
      <w:r>
        <w:t>PRINT REPRODUCTION LICENCE  |  UK ONLY</w:t>
      </w:r>
    </w:p>
    <w:p>
      <w:r>
        <w:t>This licence is made between Kestrelbank Standards Institute (the "Institute") and the Licensee named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Licensee</w:t>
            </w:r>
          </w:p>
        </w:tc>
        <w:tc>
          <w:tcPr>
            <w:tcW w:type="dxa" w:w="4320"/>
          </w:tcPr>
          <w:p>
            <w:r>
              <w:t>[insert name]</w:t>
            </w:r>
          </w:p>
        </w:tc>
      </w:tr>
      <w:tr>
        <w:tc>
          <w:tcPr>
            <w:tcW w:type="dxa" w:w="4320"/>
          </w:tcPr>
          <w:p>
            <w:r>
              <w:t>Publication</w:t>
            </w:r>
          </w:p>
        </w:tc>
        <w:tc>
          <w:tcPr>
            <w:tcW w:type="dxa" w:w="4320"/>
          </w:tcPr>
          <w:p>
            <w:r>
              <w:t>Kestrelbank Bridge Inspection Standard, 2022 print edition</w:t>
            </w:r>
          </w:p>
        </w:tc>
      </w:tr>
      <w:tr>
        <w:tc>
          <w:tcPr>
            <w:tcW w:type="dxa" w:w="4320"/>
          </w:tcPr>
          <w:p>
            <w:r>
              <w:t>Territory</w:t>
            </w:r>
          </w:p>
        </w:tc>
        <w:tc>
          <w:tcPr>
            <w:tcW w:type="dxa" w:w="4320"/>
          </w:tcPr>
          <w:p>
            <w:r>
              <w:t>United Kingdom only</w:t>
            </w:r>
          </w:p>
        </w:tc>
      </w:tr>
    </w:tbl>
    <w:p>
      <w:pPr>
        <w:pStyle w:val="Heading1"/>
      </w:pPr>
      <w:r>
        <w:t>1. Permission</w:t>
      </w:r>
    </w:p>
    <w:p>
      <w:r>
        <w:t>The Institute grants the Licensee a non-exclusive, non-transferable permission to print up to the agreed number of copies of the Publication for distribution in the Territory. No electronic reproduction, translation, alteration or adaptation is permitted.</w:t>
      </w:r>
    </w:p>
    <w:p>
      <w:pPr>
        <w:pStyle w:val="Heading1"/>
      </w:pPr>
      <w:r>
        <w:t>2. Term and fee</w:t>
      </w:r>
    </w:p>
    <w:p>
      <w:r>
        <w:t>This permission begins on signature and ends 12 months later. The Licensee shall pay the fixed fee stated in the invoice before printing begins.</w:t>
      </w:r>
    </w:p>
    <w:p>
      <w:pPr>
        <w:pStyle w:val="Heading1"/>
      </w:pPr>
      <w:r>
        <w:t>3. Credit and copies</w:t>
      </w:r>
    </w:p>
    <w:p>
      <w:r>
        <w:t>Each copy shall carry the Institute copyright notice. The Licensee shall send two printed copies to the Institute on publication.</w:t>
      </w:r>
    </w:p>
    <w:p>
      <w:pPr>
        <w:pStyle w:val="Heading1"/>
      </w:pPr>
      <w:r>
        <w:t>4. General</w:t>
      </w:r>
    </w:p>
    <w:p>
      <w:r>
        <w:t>This licence is governed by the law of England and Wales. It is the entire agreement concerning print copies.</w:t>
      </w:r>
    </w:p>
    <w:p>
      <w:r>
        <w:t>Signed for the Institute: ____________________   Date: ____________</w:t>
      </w:r>
    </w:p>
    <w:p>
      <w:r>
        <w:t>Signed for the Licensee: ____________________   Date: ____________</w:t>
      </w:r>
    </w:p>
    <w:p>
      <w:pPr>
        <w:pStyle w:val="Caption"/>
      </w:pPr>
      <w:r>
        <w:t>Internal file note: retained as the single-territory print precedent.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