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RETURN-TO-WORK CLEARANCE PROCEDURE</w:t>
      </w:r>
    </w:p>
    <w:p>
      <w:pPr>
        <w:jc w:val="center"/>
      </w:pPr>
      <w:r>
        <w:rPr>
          <w:b/>
          <w:sz w:val="20"/>
        </w:rPr>
        <w:t>Fallowbrook Trading Company | Wintergate Chambers — Pennsylvania Hub 3</w:t>
      </w:r>
    </w:p>
    <w:p>
      <w:pPr>
        <w:spacing w:after="60" w:line="240" w:lineRule="auto"/>
      </w:pPr>
      <w:r>
        <w:t>Effective: 1 September 2026  |  Owner: Clearance Desk Supervisor  |  Revision: RTW-PA-1.0</w:t>
      </w:r>
    </w:p>
    <w:p>
      <w:pPr>
        <w:spacing w:after="60" w:line="240" w:lineRule="auto"/>
      </w:pPr>
      <w:r>
        <w:t>Purpose: give a new clearance coordinator a defensible answer to “may this worker be scheduled, for which duties, and when?” This procedure governs the third Pennsylvania distribution hub opening 2 November 2026. It applies the frozen source packet current as of 1 September 2026 and omits EHR click-through instructions.</w:t>
      </w:r>
    </w:p>
    <w:p>
      <w:pPr>
        <w:pStyle w:val="Heading1"/>
      </w:pPr>
      <w:r>
        <w:t>1. The scheduling standard</w:t>
      </w:r>
    </w:p>
    <w:p>
      <w:pPr>
        <w:spacing w:after="60" w:line="240" w:lineRule="auto"/>
      </w:pPr>
      <w:r>
        <w:t>Use “cleared” only to mean all applicable gates are satisfied: valid functional evidence, assignment/safety match, any covered driver qualification, authorized restriction/accommodation decision, no emergency hold or changed circumstance, and operational capacity/timing. A clinician release alone is medical release, not dispatch schedulability.</w:t>
      </w:r>
    </w:p>
    <w:p>
      <w:pPr>
        <w:spacing w:after="60" w:line="240" w:lineRule="auto"/>
      </w:pPr>
      <w:r>
        <w:t>Apply authorities by subject matter, not hierarchy. OSHA 29 CFR Part 1904 answers recordability/logging; it never answers fitness. 49 CFR 391.41/.43 controls covered CMV qualification only. ADA/42 USC 12112 and Pennsylvania PHRA context route potential accommodation to individualized review; they do not promise a result. Attendance policy controls absence credit only. Wintergate assignment, safety, confidentiality, escalation, and capacity controls are binding internal controls; supervisor sampling is an operating practice.</w:t>
      </w:r>
    </w:p>
    <w:p>
      <w:pPr>
        <w:pStyle w:val="Heading1"/>
      </w:pPr>
      <w:r>
        <w:t>2. Scope and intake</w:t>
      </w:r>
    </w:p>
    <w:p>
      <w:pPr>
        <w:spacing w:after="60" w:line="240" w:lineRule="auto"/>
      </w:pPr>
      <w:r>
        <w:t>Use for illness/injury/treatment returns, restrictions, absence-return evidence, safety concerns, or changed assignment. Cover warehouse/non-driving and covered CMV duties; never extend a driver result automatically to warehouse work. The desk does not diagnose, provide emergency care, approve accommodations, adjudicate attendance, or choose a management assignment.</w:t>
      </w:r>
    </w:p>
    <w:p>
      <w:pPr>
        <w:pStyle w:val="ListBullet"/>
        <w:spacing w:after="20" w:line="240" w:lineRule="auto"/>
      </w:pPr>
      <w:r>
        <w:t>Worker ID plus a second approved identifier (date of birth); name alone is insufficient.</w:t>
      </w:r>
    </w:p>
    <w:p>
      <w:pPr>
        <w:pStyle w:val="ListBullet"/>
        <w:spacing w:after="20" w:line="240" w:lineRule="auto"/>
      </w:pPr>
      <w:r>
        <w:t>Role and exact proposed assignment; expected return date/time; whether covered CMV driving is proposed and vehicle context.</w:t>
      </w:r>
    </w:p>
    <w:p>
      <w:pPr>
        <w:pStyle w:val="ListBullet"/>
        <w:spacing w:after="20" w:line="240" w:lineRule="auto"/>
      </w:pPr>
      <w:r>
        <w:t>Evidence submitted, issuer, dates/authentication, functional capacity, restrictions and duration/review date; known symptom or circumstance change.</w:t>
      </w:r>
    </w:p>
    <w:p>
      <w:pPr>
        <w:pStyle w:val="ListBullet"/>
        <w:spacing w:after="20" w:line="240" w:lineRule="auto"/>
      </w:pPr>
      <w:r>
        <w:t>Contact/route for worker, referring clinician, Fleet DQ Custodian, Hub Operations Manager, HR/Accommodation Partner, and Occupational Health Clinical Reviewer.</w:t>
      </w:r>
    </w:p>
    <w:p>
      <w:pPr>
        <w:pStyle w:val="Heading1"/>
      </w:pPr>
      <w:r>
        <w:t>3. Safety stop — independent emergency route</w:t>
      </w:r>
    </w:p>
    <w:p>
      <w:pPr>
        <w:spacing w:after="60" w:line="240" w:lineRule="auto"/>
      </w:pPr>
      <w:r>
        <w:t>If a worker has chest pain/pressure, difficulty breathing, fainting, new confusion, face droop/arm weakness/speech difficulty, uncontrolled bleeding, seizure, or a new severe allergic reaction, assign Emergency Hold — Do Not Schedule immediately—even if a release is valid. Call 911/site emergency response, notify security and Hub Operations, do not let the worker drive, record necessary observation/time/handoff, then notify the Occupational Health Clinical Reviewer. Routine processing resumes only after emergency responders release the immediate event and the authorized clinical reviewer says normal review may restart.</w:t>
      </w:r>
    </w:p>
    <w:p>
      <w:pPr>
        <w:pStyle w:val="Heading1"/>
      </w:pPr>
      <w:r>
        <w:t>4. Evidence and job match</w:t>
      </w:r>
    </w:p>
    <w:p>
      <w:pPr>
        <w:spacing w:after="60" w:line="240" w:lineRule="auto"/>
      </w:pPr>
      <w:r>
        <w:t>Match each document to the worker record using approved identifiers before attaching it. Check issuer credentials, issue/exam date, signature or verifiable authentication, functional statement, restrictions, duration/end or review date, legibility, internal consistency, and currentness. Seek restrictions, duration, and capacity—not diagnosis or a “100% healed” note. Confirm essential and safety-sensitive demands (lifting/pushing, standing/walking, climbing, equipment, and CMV driving) against the proposed assignment.</w:t>
      </w:r>
    </w:p>
    <w:p>
      <w:pPr>
        <w:spacing w:after="60" w:line="240" w:lineRule="auto"/>
      </w:pPr>
      <w:r>
        <w:t>Incomplete, illegible, ambiguous, expired, or conflicting evidence becomes Pending — Safety/Evidence Hold. State the exact gap and request clarification from the issuer or Occupational Health Clinical Reviewer; preserve the conflict and do not infer approval. A material change in symptoms, condition, restrictions, or assignment pauses the prior answer and requires reassessment.</w:t>
      </w:r>
    </w:p>
    <w:p>
      <w:r>
        <w:br w:type="page"/>
      </w:r>
    </w:p>
    <w:p>
      <w:pPr>
        <w:pStyle w:val="Heading1"/>
      </w:pPr>
      <w:r>
        <w:t>5. Decision paths and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</w:tcPr>
          <w:p>
            <w:r>
              <w:t>Status</w:t>
            </w:r>
          </w:p>
        </w:tc>
        <w:tc>
          <w:tcPr>
            <w:tcW w:type="dxa" w:w="3504"/>
          </w:tcPr>
          <w:p>
            <w:r>
              <w:t>When used</w:t>
            </w:r>
          </w:p>
        </w:tc>
        <w:tc>
          <w:tcPr>
            <w:tcW w:type="dxa" w:w="3504"/>
          </w:tcPr>
          <w:p>
            <w:r>
              <w:t>Scheduling and timing</w:t>
            </w:r>
          </w:p>
        </w:tc>
      </w:tr>
      <w:tr>
        <w:tc>
          <w:tcPr>
            <w:tcW w:type="dxa" w:w="3504"/>
          </w:tcPr>
          <w:p>
            <w:r>
              <w:t>Scheduled — Unrestricted</w:t>
            </w:r>
          </w:p>
        </w:tc>
        <w:tc>
          <w:tcPr>
            <w:tcW w:type="dxa" w:w="3504"/>
          </w:tcPr>
          <w:p>
            <w:r>
              <w:t>All gates pass; unrestricted functional release; assignment and any CMV qualification match.</w:t>
            </w:r>
          </w:p>
        </w:tc>
        <w:tc>
          <w:tcPr>
            <w:tcW w:type="dxa" w:w="3504"/>
          </w:tcPr>
          <w:p>
            <w:r>
              <w:t>Dispatch may schedule named assignment from documented effective time.</w:t>
            </w:r>
          </w:p>
        </w:tc>
      </w:tr>
      <w:tr>
        <w:tc>
          <w:tcPr>
            <w:tcW w:type="dxa" w:w="3504"/>
          </w:tcPr>
          <w:p>
            <w:r>
              <w:t>Scheduled — Approved Modification</w:t>
            </w:r>
          </w:p>
        </w:tc>
        <w:tc>
          <w:tcPr>
            <w:tcW w:type="dxa" w:w="3504"/>
          </w:tcPr>
          <w:p>
            <w:r>
              <w:t>Restriction is matched and Hub Operations + HR/Accommodation authorize a modification.</w:t>
            </w:r>
          </w:p>
        </w:tc>
        <w:tc>
          <w:tcPr>
            <w:tcW w:type="dxa" w:w="3504"/>
          </w:tcPr>
          <w:p>
            <w:r>
              <w:t>Schedule only named duties/restrictions through dated review/end point; no promise of a particular accommodation.</w:t>
            </w:r>
          </w:p>
        </w:tc>
      </w:tr>
      <w:tr>
        <w:tc>
          <w:tcPr>
            <w:tcW w:type="dxa" w:w="3504"/>
          </w:tcPr>
          <w:p>
            <w:r>
              <w:t>Pending — Safety/Evidence Hold</w:t>
            </w:r>
          </w:p>
        </w:tc>
        <w:tc>
          <w:tcPr>
            <w:tcW w:type="dxa" w:w="3504"/>
          </w:tcPr>
          <w:p>
            <w:r>
              <w:t>Missing/invalid/ambiguous/conflicting evidence; restriction review; changed circumstance; capacity or external dependency unresolved.</w:t>
            </w:r>
          </w:p>
        </w:tc>
        <w:tc>
          <w:tcPr>
            <w:tcW w:type="dxa" w:w="3504"/>
          </w:tcPr>
          <w:p>
            <w:r>
              <w:t>Do not schedule. Reconsider when issue resolves; before 13:00 complete packets target same shift, otherwise next operating shift.</w:t>
            </w:r>
          </w:p>
        </w:tc>
      </w:tr>
      <w:tr>
        <w:tc>
          <w:tcPr>
            <w:tcW w:type="dxa" w:w="3504"/>
          </w:tcPr>
          <w:p>
            <w:r>
              <w:t>Driving Not Qualified — Non-driving Review</w:t>
            </w:r>
          </w:p>
        </w:tc>
        <w:tc>
          <w:tcPr>
            <w:tcW w:type="dxa" w:w="3504"/>
          </w:tcPr>
          <w:p>
            <w:r>
              <w:t>Covered CMV qualification missing, expired, invalid, or disqualifying.</w:t>
            </w:r>
          </w:p>
        </w:tc>
        <w:tc>
          <w:tcPr>
            <w:tcW w:type="dxa" w:w="3504"/>
          </w:tcPr>
          <w:p>
            <w:r>
              <w:t>No covered driving. Fleet DQ Custodian reviews qualification; Hub Operations separately reviews non-driving eligibility.</w:t>
            </w:r>
          </w:p>
        </w:tc>
      </w:tr>
      <w:tr>
        <w:tc>
          <w:tcPr>
            <w:tcW w:type="dxa" w:w="3504"/>
          </w:tcPr>
          <w:p>
            <w:r>
              <w:t>Emergency Hold — Do Not Schedule</w:t>
            </w:r>
          </w:p>
        </w:tc>
        <w:tc>
          <w:tcPr>
            <w:tcW w:type="dxa" w:w="3504"/>
          </w:tcPr>
          <w:p>
            <w:r>
              <w:t>Acute warning trigger or unresolved emergency route.</w:t>
            </w:r>
          </w:p>
        </w:tc>
        <w:tc>
          <w:tcPr>
            <w:tcW w:type="dxa" w:w="3504"/>
          </w:tcPr>
          <w:p>
            <w:r>
              <w:t>No duties or scheduling; only emergency route and clinical reviewer permit resumption.</w:t>
            </w:r>
          </w:p>
        </w:tc>
      </w:tr>
    </w:tbl>
    <w:p>
      <w:pPr>
        <w:spacing w:after="0"/>
      </w:pPr>
    </w:p>
    <w:p>
      <w:pPr>
        <w:spacing w:after="60" w:line="240" w:lineRule="auto"/>
      </w:pPr>
      <w:r>
        <w:t>Unrestricted release leads to scheduling only when every other applicable gate passes. A restriction is never rejected or waived by the coordinator. Potential accommodation enters interactive review without requiring full recovery. Temporary restrictions always carry an end/review date; at that date, hold pending reassessment if no new decision exists.</w:t>
      </w:r>
    </w:p>
    <w:p>
      <w:pPr>
        <w:pStyle w:val="Heading1"/>
      </w:pPr>
      <w:r>
        <w:t>6. One-shift service clock</w:t>
      </w:r>
    </w:p>
    <w:p>
      <w:pPr>
        <w:spacing w:after="60" w:line="240" w:lineRule="auto"/>
      </w:pPr>
      <w:r>
        <w:t>Desk hours are 07:00–15:30. The one-shift interval starts when a complete intake is received, identity and assignment are confirmed, and no acute trigger exists; it ends when a status, effective timing, and permitted scheduling message are documented and sent to dispatch. Complete packets/appointments received by 13:00 are same-shift eligible; after 13:00 or an appointment unavailable until after 13:00 is next-operating-shift eligible. The clock pauses for missing evidence, emergency, external issuer/clinical/qualification/accommodation action, changed circumstances, appointment dependency, or capacity constraint. This is a service objective, not a guarantee.</w:t>
      </w:r>
    </w:p>
    <w:p>
      <w:pPr>
        <w:pStyle w:val="Heading1"/>
      </w:pPr>
      <w:r>
        <w:t>7. Communication and record</w:t>
      </w:r>
    </w:p>
    <w:p>
      <w:pPr>
        <w:spacing w:after="60" w:line="240" w:lineRule="auto"/>
      </w:pPr>
      <w:r>
        <w:t>Tell worker and operations the status, permitted duties, effective time, restrictions necessary to schedule, and next review—never unnecessary diagnosis. Keep medical information in the restricted occupational-health file, separate from dispatch/personnel communications, with access limited to authorized roles. Retain evidence reviewed, identity match, assignment, gate results, decision basis, status, decision maker, receipt/decision/communication timestamps, and review date. OSHA logging and attendance routing are separate actions and never alter the status.</w:t>
      </w:r>
    </w:p>
    <w:p>
      <w:pPr>
        <w:pStyle w:val="Heading1"/>
      </w:pPr>
      <w:r>
        <w:t>8. Escalation and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</w:tcPr>
          <w:p>
            <w:r>
              <w:t>Trigger</w:t>
            </w:r>
          </w:p>
        </w:tc>
        <w:tc>
          <w:tcPr>
            <w:tcW w:type="dxa" w:w="3504"/>
          </w:tcPr>
          <w:p>
            <w:r>
              <w:t>Handoff / information</w:t>
            </w:r>
          </w:p>
        </w:tc>
        <w:tc>
          <w:tcPr>
            <w:tcW w:type="dxa" w:w="3504"/>
          </w:tcPr>
          <w:p>
            <w:r>
              <w:t>While waiting</w:t>
            </w:r>
          </w:p>
        </w:tc>
      </w:tr>
      <w:tr>
        <w:tc>
          <w:tcPr>
            <w:tcW w:type="dxa" w:w="3504"/>
          </w:tcPr>
          <w:p>
            <w:r>
              <w:t>Evidence gap/conflict</w:t>
            </w:r>
          </w:p>
        </w:tc>
        <w:tc>
          <w:tcPr>
            <w:tcW w:type="dxa" w:w="3504"/>
          </w:tcPr>
          <w:p>
            <w:r>
              <w:t>Occupational Health Clinical Reviewer: worker match, assignment, document, precise gap/conflict.</w:t>
            </w:r>
          </w:p>
        </w:tc>
        <w:tc>
          <w:tcPr>
            <w:tcW w:type="dxa" w:w="3504"/>
          </w:tcPr>
          <w:p>
            <w:r>
              <w:t>Pending — Safety/Evidence Hold; same-shift response target before 13:00, otherwise next operating shift.</w:t>
            </w:r>
          </w:p>
        </w:tc>
      </w:tr>
      <w:tr>
        <w:tc>
          <w:tcPr>
            <w:tcW w:type="dxa" w:w="3504"/>
          </w:tcPr>
          <w:p>
            <w:r>
              <w:t>CMV qualification defect</w:t>
            </w:r>
          </w:p>
        </w:tc>
        <w:tc>
          <w:tcPr>
            <w:tcW w:type="dxa" w:w="3504"/>
          </w:tcPr>
          <w:p>
            <w:r>
              <w:t>Fleet DQ Custodian: worker ID, CMV duty, DQ record, expiry/defect.</w:t>
            </w:r>
          </w:p>
        </w:tc>
        <w:tc>
          <w:tcPr>
            <w:tcW w:type="dxa" w:w="3504"/>
          </w:tcPr>
          <w:p>
            <w:r>
              <w:t>Driving Not Qualified — Non-driving Review; no CMV driving.</w:t>
            </w:r>
          </w:p>
        </w:tc>
      </w:tr>
      <w:tr>
        <w:tc>
          <w:tcPr>
            <w:tcW w:type="dxa" w:w="3504"/>
          </w:tcPr>
          <w:p>
            <w:r>
              <w:t>Restriction/accommodation</w:t>
            </w:r>
          </w:p>
        </w:tc>
        <w:tc>
          <w:tcPr>
            <w:tcW w:type="dxa" w:w="3504"/>
          </w:tcPr>
          <w:p>
            <w:r>
              <w:t>Hub Operations Manager + HR/Accommodation Partner: functional limits, duration, assignment demands.</w:t>
            </w:r>
          </w:p>
        </w:tc>
        <w:tc>
          <w:tcPr>
            <w:tcW w:type="dxa" w:w="3504"/>
          </w:tcPr>
          <w:p>
            <w:r>
              <w:t>Pending — Safety/Evidence Hold; acknowledge by next operating shift.</w:t>
            </w:r>
          </w:p>
        </w:tc>
      </w:tr>
      <w:tr>
        <w:tc>
          <w:tcPr>
            <w:tcW w:type="dxa" w:w="3504"/>
          </w:tcPr>
          <w:p>
            <w:r>
              <w:t>Capacity/appointment</w:t>
            </w:r>
          </w:p>
        </w:tc>
        <w:tc>
          <w:tcPr>
            <w:tcW w:type="dxa" w:w="3504"/>
          </w:tcPr>
          <w:p>
            <w:r>
              <w:t>Clearance Desk Supervisor + Hub Operations: queue age, eligible workload, timing.</w:t>
            </w:r>
          </w:p>
        </w:tc>
        <w:tc>
          <w:tcPr>
            <w:tcW w:type="dxa" w:w="3504"/>
          </w:tcPr>
          <w:p>
            <w:r>
              <w:t>Pending or next-shift timing; no one-shift guarantee.</w:t>
            </w:r>
          </w:p>
        </w:tc>
      </w:tr>
    </w:tbl>
    <w:p>
      <w:pPr>
        <w:spacing w:after="0"/>
      </w:pPr>
    </w:p>
    <w:p>
      <w:pPr>
        <w:spacing w:after="60" w:line="240" w:lineRule="auto"/>
      </w:pPr>
      <w:r>
        <w:t>Corrected evidence or reconsideration may be submitted by worker/referring role; link it to the case, preserve the prior audit trail, route to responsible reviewer, and document rationale. During outage, use controlled paper downtime log with worker ID + second identifier, timestamps, restricted storage, recipient confirmation, and later reconciliation—never informal chat clearance.</w:t>
      </w:r>
    </w:p>
    <w:p>
      <w:r>
        <w:br w:type="page"/>
      </w:r>
    </w:p>
    <w:p>
      <w:pPr>
        <w:pStyle w:val="Heading1"/>
      </w:pPr>
      <w:r>
        <w:t>9. Opening-week outlook and recommendation</w:t>
      </w:r>
    </w:p>
    <w:p>
      <w:pPr>
        <w:spacing w:after="60" w:line="240" w:lineRule="auto"/>
      </w:pPr>
      <w:r>
        <w:t>Forecast inputs from the frozen packet: arrivals are workload categories; eligible means complete before the 13:00 cutoff. Factors: Unrestricted 0.25 h/case; Restricted 0.75; Driver review 0.50; Evidence clarification 0.40. Opening backlog is 4.25 h. Objective: at least 95% same-shift eligible workload completion each operating date and zero workload backlog at close on 6 November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</w:tcPr>
          <w:p>
            <w:r>
              <w:t>Date</w:t>
            </w:r>
          </w:p>
        </w:tc>
        <w:tc>
          <w:tcPr>
            <w:tcW w:type="dxa" w:w="1752"/>
          </w:tcPr>
          <w:p>
            <w:r>
              <w:t>Arrivals U/R/D/E</w:t>
            </w:r>
          </w:p>
        </w:tc>
        <w:tc>
          <w:tcPr>
            <w:tcW w:type="dxa" w:w="1752"/>
          </w:tcPr>
          <w:p>
            <w:r>
              <w:t>Eligible h</w:t>
            </w:r>
          </w:p>
        </w:tc>
        <w:tc>
          <w:tcPr>
            <w:tcW w:type="dxa" w:w="1752"/>
          </w:tcPr>
          <w:p>
            <w:r>
              <w:t>Total h</w:t>
            </w:r>
          </w:p>
        </w:tc>
        <w:tc>
          <w:tcPr>
            <w:tcW w:type="dxa" w:w="1752"/>
          </w:tcPr>
          <w:p>
            <w:r>
              <w:t>Baseline cap h</w:t>
            </w:r>
          </w:p>
        </w:tc>
        <w:tc>
          <w:tcPr>
            <w:tcW w:type="dxa" w:w="1752"/>
          </w:tcPr>
          <w:p>
            <w:r>
              <w:t>Enhanced cap h</w:t>
            </w:r>
          </w:p>
        </w:tc>
      </w:tr>
      <w:tr>
        <w:tc>
          <w:tcPr>
            <w:tcW w:type="dxa" w:w="1752"/>
          </w:tcPr>
          <w:p>
            <w:r>
              <w:t>02 Nov 2026</w:t>
            </w:r>
          </w:p>
        </w:tc>
        <w:tc>
          <w:tcPr>
            <w:tcW w:type="dxa" w:w="1752"/>
          </w:tcPr>
          <w:p>
            <w:r>
              <w:t>20/8/7/5</w:t>
            </w:r>
          </w:p>
        </w:tc>
        <w:tc>
          <w:tcPr>
            <w:tcW w:type="dxa" w:w="1752"/>
          </w:tcPr>
          <w:p>
            <w:r>
              <w:t>14.35</w:t>
            </w:r>
          </w:p>
        </w:tc>
        <w:tc>
          <w:tcPr>
            <w:tcW w:type="dxa" w:w="1752"/>
          </w:tcPr>
          <w:p>
            <w:r>
              <w:t>16.50</w:t>
            </w:r>
          </w:p>
        </w:tc>
        <w:tc>
          <w:tcPr>
            <w:tcW w:type="dxa" w:w="1752"/>
          </w:tcPr>
          <w:p>
            <w:r>
              <w:t>12.00</w:t>
            </w:r>
          </w:p>
        </w:tc>
        <w:tc>
          <w:tcPr>
            <w:tcW w:type="dxa" w:w="1752"/>
          </w:tcPr>
          <w:p>
            <w:r>
              <w:t>19.00</w:t>
            </w:r>
          </w:p>
        </w:tc>
      </w:tr>
      <w:tr>
        <w:tc>
          <w:tcPr>
            <w:tcW w:type="dxa" w:w="1752"/>
          </w:tcPr>
          <w:p>
            <w:r>
              <w:t>03 Nov 2026</w:t>
            </w:r>
          </w:p>
        </w:tc>
        <w:tc>
          <w:tcPr>
            <w:tcW w:type="dxa" w:w="1752"/>
          </w:tcPr>
          <w:p>
            <w:r>
              <w:t>18/7/6/4</w:t>
            </w:r>
          </w:p>
        </w:tc>
        <w:tc>
          <w:tcPr>
            <w:tcW w:type="dxa" w:w="1752"/>
          </w:tcPr>
          <w:p>
            <w:r>
              <w:t>12.20</w:t>
            </w:r>
          </w:p>
        </w:tc>
        <w:tc>
          <w:tcPr>
            <w:tcW w:type="dxa" w:w="1752"/>
          </w:tcPr>
          <w:p>
            <w:r>
              <w:t>14.35</w:t>
            </w:r>
          </w:p>
        </w:tc>
        <w:tc>
          <w:tcPr>
            <w:tcW w:type="dxa" w:w="1752"/>
          </w:tcPr>
          <w:p>
            <w:r>
              <w:t>14.00</w:t>
            </w:r>
          </w:p>
        </w:tc>
        <w:tc>
          <w:tcPr>
            <w:tcW w:type="dxa" w:w="1752"/>
          </w:tcPr>
          <w:p>
            <w:r>
              <w:t>21.00</w:t>
            </w:r>
          </w:p>
        </w:tc>
      </w:tr>
      <w:tr>
        <w:tc>
          <w:tcPr>
            <w:tcW w:type="dxa" w:w="1752"/>
          </w:tcPr>
          <w:p>
            <w:r>
              <w:t>04 Nov 2026</w:t>
            </w:r>
          </w:p>
        </w:tc>
        <w:tc>
          <w:tcPr>
            <w:tcW w:type="dxa" w:w="1752"/>
          </w:tcPr>
          <w:p>
            <w:r>
              <w:t>20/8/7/5</w:t>
            </w:r>
          </w:p>
        </w:tc>
        <w:tc>
          <w:tcPr>
            <w:tcW w:type="dxa" w:w="1752"/>
          </w:tcPr>
          <w:p>
            <w:r>
              <w:t>14.35</w:t>
            </w:r>
          </w:p>
        </w:tc>
        <w:tc>
          <w:tcPr>
            <w:tcW w:type="dxa" w:w="1752"/>
          </w:tcPr>
          <w:p>
            <w:r>
              <w:t>16.50</w:t>
            </w:r>
          </w:p>
        </w:tc>
        <w:tc>
          <w:tcPr>
            <w:tcW w:type="dxa" w:w="1752"/>
          </w:tcPr>
          <w:p>
            <w:r>
              <w:t>14.00</w:t>
            </w:r>
          </w:p>
        </w:tc>
        <w:tc>
          <w:tcPr>
            <w:tcW w:type="dxa" w:w="1752"/>
          </w:tcPr>
          <w:p>
            <w:r>
              <w:t>21.00</w:t>
            </w:r>
          </w:p>
        </w:tc>
      </w:tr>
      <w:tr>
        <w:tc>
          <w:tcPr>
            <w:tcW w:type="dxa" w:w="1752"/>
          </w:tcPr>
          <w:p>
            <w:r>
              <w:t>05 Nov 2026</w:t>
            </w:r>
          </w:p>
        </w:tc>
        <w:tc>
          <w:tcPr>
            <w:tcW w:type="dxa" w:w="1752"/>
          </w:tcPr>
          <w:p>
            <w:r>
              <w:t>19/8/7/4</w:t>
            </w:r>
          </w:p>
        </w:tc>
        <w:tc>
          <w:tcPr>
            <w:tcW w:type="dxa" w:w="1752"/>
          </w:tcPr>
          <w:p>
            <w:r>
              <w:t>13.70</w:t>
            </w:r>
          </w:p>
        </w:tc>
        <w:tc>
          <w:tcPr>
            <w:tcW w:type="dxa" w:w="1752"/>
          </w:tcPr>
          <w:p>
            <w:r>
              <w:t>15.85</w:t>
            </w:r>
          </w:p>
        </w:tc>
        <w:tc>
          <w:tcPr>
            <w:tcW w:type="dxa" w:w="1752"/>
          </w:tcPr>
          <w:p>
            <w:r>
              <w:t>14.00</w:t>
            </w:r>
          </w:p>
        </w:tc>
        <w:tc>
          <w:tcPr>
            <w:tcW w:type="dxa" w:w="1752"/>
          </w:tcPr>
          <w:p>
            <w:r>
              <w:t>21.00</w:t>
            </w:r>
          </w:p>
        </w:tc>
      </w:tr>
      <w:tr>
        <w:tc>
          <w:tcPr>
            <w:tcW w:type="dxa" w:w="1752"/>
          </w:tcPr>
          <w:p>
            <w:r>
              <w:t>06 Nov 2026</w:t>
            </w:r>
          </w:p>
        </w:tc>
        <w:tc>
          <w:tcPr>
            <w:tcW w:type="dxa" w:w="1752"/>
          </w:tcPr>
          <w:p>
            <w:r>
              <w:t>17/6/6/4</w:t>
            </w:r>
          </w:p>
        </w:tc>
        <w:tc>
          <w:tcPr>
            <w:tcW w:type="dxa" w:w="1752"/>
          </w:tcPr>
          <w:p>
            <w:r>
              <w:t>11.20</w:t>
            </w:r>
          </w:p>
        </w:tc>
        <w:tc>
          <w:tcPr>
            <w:tcW w:type="dxa" w:w="1752"/>
          </w:tcPr>
          <w:p>
            <w:r>
              <w:t>13.35</w:t>
            </w:r>
          </w:p>
        </w:tc>
        <w:tc>
          <w:tcPr>
            <w:tcW w:type="dxa" w:w="1752"/>
          </w:tcPr>
          <w:p>
            <w:r>
              <w:t>14.00</w:t>
            </w:r>
          </w:p>
        </w:tc>
        <w:tc>
          <w:tcPr>
            <w:tcW w:type="dxa" w:w="1752"/>
          </w:tcPr>
          <w:p>
            <w:r>
              <w:t>21.00</w:t>
            </w:r>
          </w:p>
        </w:tc>
      </w:tr>
    </w:tbl>
    <w:p>
      <w:pPr>
        <w:spacing w:after="0"/>
      </w:pPr>
    </w:p>
    <w:p>
      <w:pPr>
        <w:spacing w:after="60" w:line="240" w:lineRule="auto"/>
      </w:pPr>
      <w:r>
        <w:t>Baseline ending backlog by date is 8.75, 9.10, 11.60, 13.45, 12.80 h; Enhanced is 1.75, 0, 0, 0, 0 h. Same-shift eligible completion rates (02–06 Nov): Baseline 83.6%, 100.0%, 97.6%, 100.0%, 100.0%; Enhanced 100.0% each day. Week totals: Baseline 95.9% eligible workload completed same shift with 12.80 h ending backlog; Enhanced 100.0% with zero ending backlog.</w:t>
      </w:r>
    </w:p>
    <w:p>
      <w:pPr>
        <w:spacing w:after="60" w:line="240" w:lineRule="auto"/>
      </w:pPr>
      <w:r>
        <w:t>Costs use only supplied rates: Baseline $3,060 (80 scheduled coordinator-hours × $32 + $500 fixed launch); Enhanced $4,740 (120 hours × $32 + $900 fixed launch). Recommendation: Enhanced launch coverage. It is the least-cost supplied option that meets both service-objective tests under forecast assumptions; conditional on stated demand, staffing, cutoff, appointment, external-review, and emergency assumptions.</w:t>
      </w:r>
    </w:p>
    <w:p>
      <w:pPr>
        <w:pStyle w:val="Heading1"/>
      </w:pPr>
      <w:r>
        <w:t>10. Supervisor quality check</w:t>
      </w:r>
    </w:p>
    <w:p>
      <w:pPr>
        <w:spacing w:after="60" w:line="240" w:lineRule="auto"/>
      </w:pPr>
      <w:r>
        <w:t>At opening and 14:30 daily, the Clearance Desk Supervisor samples completed cases and reviews every pending case for identity match, each evidence element, assignment comparison, correct status, schedule/communication match, dated review, and overdue escalation. Correct unsupported scheduling before dispatch use, document correction, and escalate repeated misses for retraining.</w:t>
      </w:r>
    </w:p>
    <w:p>
      <w:pPr>
        <w:spacing w:after="60" w:line="240" w:lineRule="auto"/>
      </w:pPr>
      <w:r>
        <w:t>Document control: RTW-PA-1.0 | Effective 1 September 2026 | Owner: Clearance Desk Supervisor | Governing packet: wintergate_clearance_source_packet.pdf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