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6324F"/>
          <w:sz w:val="36"/>
        </w:rPr>
        <w:t>FACTUAL NARRATIVE</w:t>
      </w:r>
      <w:r>
        <w:rPr>
          <w:b/>
          <w:color w:val="246B8E"/>
          <w:sz w:val="24"/>
        </w:rPr>
        <w:t xml:space="preserve">  /  Peer Reviewer Briefing</w:t>
      </w:r>
    </w:p>
    <w:p>
      <w:pPr>
        <w:spacing w:before="0" w:after="120" w:line="240" w:lineRule="auto"/>
      </w:pPr>
      <w:r>
        <w:rPr>
          <w:rFonts w:ascii="Aptos" w:hAnsi="Aptos"/>
          <w:b w:val="0"/>
          <w:color w:val="5B6570"/>
          <w:sz w:val="17"/>
        </w:rPr>
        <w:t>Heronbank Systems — preparing a bounded quality-file account for Ezra Kalinowski, Quality Manager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742"/>
            <w:shd w:fill="EAF2F6"/>
            <w:tcMar>
              <w:top w:w="80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6324F"/>
                <w:sz w:val="18"/>
              </w:rPr>
              <w:t xml:space="preserve">Purpose. </w:t>
            </w:r>
            <w:r>
              <w:rPr>
                <w:sz w:val="18"/>
              </w:rPr>
              <w:t>Write what the available records support, show their limits, and leave accountability decisions outside the narrative.</w:t>
            </w:r>
          </w:p>
        </w:tc>
      </w:tr>
    </w:tbl>
    <w:p>
      <w:pPr>
        <w:spacing w:before="60" w:after="20" w:line="240" w:lineRule="auto"/>
      </w:pPr>
      <w:r>
        <w:rPr>
          <w:rFonts w:ascii="Aptos" w:hAnsi="Aptos"/>
          <w:b/>
          <w:color w:val="16324F"/>
          <w:sz w:val="20"/>
        </w:rPr>
        <w:t>1  Label the evidence before you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6D5DE"/>
          <w:left w:val="single" w:sz="5" w:color="C6D5DE"/>
          <w:bottom w:val="single" w:sz="5" w:color="C6D5DE"/>
          <w:right w:val="single" w:sz="5" w:color="C6D5DE"/>
          <w:insideH w:val="single" w:sz="5" w:color="C6D5DE"/>
          <w:insideV w:val="single" w:sz="5" w:color="C6D5DE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fill="F7FAFB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20"/>
            </w:pPr>
            <w:r>
              <w:rPr>
                <w:b/>
                <w:color w:val="16324F"/>
                <w:sz w:val="17"/>
              </w:rPr>
              <w:t>Observed record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6"/>
              </w:rPr>
              <w:t>What a source directly shows: e.g., an andon printout has a gap.</w:t>
            </w:r>
          </w:p>
        </w:tc>
        <w:tc>
          <w:tcPr>
            <w:tcW w:type="dxa" w:w="2685"/>
            <w:shd w:fill="F7FAFB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20"/>
            </w:pPr>
            <w:r>
              <w:rPr>
                <w:b/>
                <w:color w:val="16324F"/>
                <w:sz w:val="17"/>
              </w:rPr>
              <w:t>Inference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6"/>
              </w:rPr>
              <w:t>A reasonable reading of facts, stated as such: the gap appears to align with downtime.</w:t>
            </w:r>
          </w:p>
        </w:tc>
        <w:tc>
          <w:tcPr>
            <w:tcW w:type="dxa" w:w="2685"/>
          </w:tcPr>
          <w:p/>
        </w:tc>
        <w:tc>
          <w:tcPr>
            <w:tcW w:type="dxa" w:w="2685"/>
          </w:tcPr>
          <w:p/>
        </w:tc>
      </w:tr>
      <w:tr>
        <w:tc>
          <w:tcPr>
            <w:tcW w:type="dxa" w:w="2685"/>
            <w:shd w:fill="F7FAFB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20"/>
            </w:pPr>
            <w:r>
              <w:rPr>
                <w:b/>
                <w:color w:val="16324F"/>
                <w:sz w:val="17"/>
              </w:rPr>
              <w:t>Unresolved discrepancy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6"/>
              </w:rPr>
              <w:t>A difference, absence, or conflict the records do not settle.</w:t>
            </w:r>
          </w:p>
        </w:tc>
        <w:tc>
          <w:tcPr>
            <w:tcW w:type="dxa" w:w="2685"/>
            <w:shd w:fill="F7FAFB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20"/>
            </w:pPr>
            <w:r>
              <w:rPr>
                <w:b/>
                <w:color w:val="16324F"/>
                <w:sz w:val="17"/>
              </w:rPr>
              <w:t>Allegation / lead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6"/>
              </w:rPr>
              <w:t>A report to examine. An anonymous tip does not establish identity, intent, or falsification.</w:t>
            </w:r>
          </w:p>
        </w:tc>
        <w:tc>
          <w:tcPr>
            <w:tcW w:type="dxa" w:w="2685"/>
          </w:tcPr>
          <w:p/>
        </w:tc>
        <w:tc>
          <w:tcPr>
            <w:tcW w:type="dxa" w:w="2685"/>
          </w:tcPr>
          <w:p/>
        </w:tc>
      </w:tr>
    </w:tbl>
    <w:p>
      <w:pPr>
        <w:spacing w:before="60" w:after="20" w:line="240" w:lineRule="auto"/>
      </w:pPr>
      <w:r>
        <w:rPr>
          <w:rFonts w:ascii="Aptos" w:hAnsi="Aptos"/>
          <w:b/>
          <w:color w:val="16324F"/>
          <w:sz w:val="18"/>
        </w:rPr>
        <w:t>Keep propositions separate</w:t>
      </w:r>
    </w:p>
    <w:p>
      <w:pPr>
        <w:spacing w:before="0" w:after="80" w:line="240" w:lineRule="auto"/>
      </w:pPr>
      <w:r>
        <w:rPr>
          <w:rFonts w:ascii="Aptos" w:hAnsi="Aptos"/>
          <w:b w:val="0"/>
          <w:sz w:val="17"/>
        </w:rPr>
        <w:t>A blank or timing mismatch is not interchangeable with a late entry, missing entry, failed check, or falsified entry. State only the proposition the records establish. Do not fill a gap with a presumed sequence, motive, or person.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6D5DE"/>
          <w:left w:val="single" w:sz="5" w:color="C6D5DE"/>
          <w:bottom w:val="single" w:sz="5" w:color="C6D5DE"/>
          <w:right w:val="single" w:sz="5" w:color="C6D5DE"/>
          <w:insideH w:val="single" w:sz="5" w:color="C6D5DE"/>
          <w:insideV w:val="single" w:sz="5" w:color="C6D5DE"/>
        </w:tblBorders>
      </w:tblPr>
      <w:tblGrid>
        <w:gridCol w:w="5371"/>
        <w:gridCol w:w="5371"/>
      </w:tblGrid>
      <w:tr>
        <w:tc>
          <w:tcPr>
            <w:tcW w:type="dxa" w:w="5270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  <w:shd w:fill="F7FAFB"/>
          </w:tcPr>
          <w:p>
            <w:pPr>
              <w:spacing w:after="40"/>
            </w:pPr>
            <w:r>
              <w:rPr>
                <w:b/>
                <w:color w:val="16324F"/>
                <w:sz w:val="18"/>
              </w:rPr>
              <w:t>A dated, bounded narrative</w:t>
            </w:r>
          </w:p>
          <w:p>
            <w:pPr>
              <w:spacing w:after="40" w:line="240" w:lineRule="auto"/>
            </w:pPr>
            <w:r>
              <w:rPr>
                <w:b/>
                <w:color w:val="16324F"/>
                <w:sz w:val="17"/>
              </w:rPr>
              <w:t xml:space="preserve">Scope &amp; time window. </w:t>
            </w:r>
            <w:r>
              <w:rPr>
                <w:rFonts w:ascii="Aptos" w:hAnsi="Aptos"/>
                <w:sz w:val="17"/>
              </w:rPr>
              <w:t>Name the process, B shift, and the date/time window reviewed. Anchor each statement to a date or time where the source permits.</w:t>
            </w:r>
          </w:p>
          <w:p>
            <w:pPr>
              <w:spacing w:after="40" w:line="240" w:lineRule="auto"/>
            </w:pPr>
            <w:r>
              <w:rPr>
                <w:b/>
                <w:color w:val="16324F"/>
                <w:sz w:val="17"/>
              </w:rPr>
              <w:t xml:space="preserve">Evidence &amp; chronology. </w:t>
            </w:r>
            <w:r>
              <w:rPr>
                <w:rFonts w:ascii="Aptos" w:hAnsi="Aptos"/>
                <w:sz w:val="17"/>
              </w:rPr>
              <w:t>Place records in time order; distinguish source observation from inference.</w:t>
            </w:r>
          </w:p>
          <w:p>
            <w:pPr>
              <w:spacing w:after="40" w:line="240" w:lineRule="auto"/>
            </w:pPr>
            <w:r>
              <w:rPr>
                <w:b/>
                <w:color w:val="16324F"/>
                <w:sz w:val="17"/>
              </w:rPr>
              <w:t xml:space="preserve">Limitations &amp; boundary. </w:t>
            </w:r>
            <w:r>
              <w:rPr>
                <w:rFonts w:ascii="Aptos" w:hAnsi="Aptos"/>
                <w:sz w:val="17"/>
              </w:rPr>
              <w:t>Name missing/conflicting records and end with what the evidence does and does not establish.</w:t>
            </w:r>
          </w:p>
        </w:tc>
        <w:tc>
          <w:tcPr>
            <w:tcW w:type="dxa" w:w="5270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  <w:shd w:fill="F7FAFB"/>
          </w:tcPr>
          <w:p>
            <w:pPr>
              <w:spacing w:after="40"/>
            </w:pPr>
            <w:r>
              <w:rPr>
                <w:b/>
                <w:color w:val="16324F"/>
                <w:sz w:val="18"/>
              </w:rPr>
              <w:t>Source trail = retrievable evidence</w:t>
            </w:r>
          </w:p>
          <w:p>
            <w:pPr>
              <w:spacing w:after="40" w:line="240" w:lineRule="auto"/>
            </w:pPr>
            <w:r>
              <w:rPr>
                <w:b/>
                <w:color w:val="16324F"/>
                <w:sz w:val="17"/>
              </w:rPr>
              <w:t xml:space="preserve">Identify the record type. </w:t>
            </w:r>
            <w:r>
              <w:rPr>
                <w:rFonts w:ascii="Aptos" w:hAnsi="Aptos"/>
                <w:sz w:val="17"/>
              </w:rPr>
              <w:t>Use the record’s title/type, relevant date or shift, and available identifier, lot/job, page, or image reference.</w:t>
            </w:r>
          </w:p>
          <w:p>
            <w:pPr>
              <w:spacing w:after="40" w:line="240" w:lineRule="auto"/>
            </w:pPr>
            <w:r>
              <w:rPr>
                <w:b/>
                <w:color w:val="16324F"/>
                <w:sz w:val="17"/>
              </w:rPr>
              <w:t xml:space="preserve">Preserve provenance. </w:t>
            </w:r>
            <w:r>
              <w:rPr>
                <w:rFonts w:ascii="Aptos" w:hAnsi="Aptos"/>
                <w:sz w:val="17"/>
              </w:rPr>
              <w:t>Say whether it is a paper original, scan, printout, notebook, or electronic export; preserve the version reviewed.</w:t>
            </w:r>
          </w:p>
          <w:p>
            <w:pPr>
              <w:spacing w:after="40" w:line="240" w:lineRule="auto"/>
            </w:pPr>
            <w:r>
              <w:rPr>
                <w:b/>
                <w:color w:val="16324F"/>
                <w:sz w:val="17"/>
              </w:rPr>
              <w:t xml:space="preserve">Describe absence plainly. </w:t>
            </w:r>
            <w:r>
              <w:rPr>
                <w:rFonts w:ascii="Aptos" w:hAnsi="Aptos"/>
                <w:sz w:val="17"/>
              </w:rPr>
              <w:t>“No matching record was located in the reviewed set” is different from “the check did not occur.”</w:t>
            </w:r>
          </w:p>
        </w:tc>
      </w:tr>
    </w:tbl>
    <w:p>
      <w:pPr>
        <w:spacing w:before="60" w:after="20" w:line="240" w:lineRule="auto"/>
      </w:pPr>
      <w:r>
        <w:rPr>
          <w:rFonts w:ascii="Aptos" w:hAnsi="Aptos"/>
          <w:b/>
          <w:color w:val="16324F"/>
          <w:sz w:val="20"/>
        </w:rPr>
        <w:t>2  Worked example — Heronbank Systems (known facts vs. illustrative wording)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6D5DE"/>
          <w:left w:val="single" w:sz="5" w:color="C6D5DE"/>
          <w:bottom w:val="single" w:sz="5" w:color="C6D5DE"/>
          <w:right w:val="single" w:sz="5" w:color="C6D5DE"/>
          <w:insideH w:val="single" w:sz="5" w:color="C6D5DE"/>
          <w:insideV w:val="single" w:sz="5" w:color="C6D5DE"/>
        </w:tblBorders>
      </w:tblPr>
      <w:tblGrid>
        <w:gridCol w:w="5371"/>
        <w:gridCol w:w="5371"/>
      </w:tblGrid>
      <w:tr>
        <w:tc>
          <w:tcPr>
            <w:tcW w:type="dxa" w:w="53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AF2F6"/>
          </w:tcPr>
          <w:p>
            <w:pPr>
              <w:spacing w:after="40"/>
            </w:pPr>
            <w:r>
              <w:rPr>
                <w:b/>
                <w:color w:val="16324F"/>
                <w:sz w:val="17"/>
              </w:rPr>
              <w:t>KNOWN CASE FACTS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6"/>
              </w:rPr>
              <w:t>• Eleven nights of andon printouts contain gaps.</w:t>
              <w:br/>
              <w:t>• One scrapped-lot tag is available.</w:t>
              <w:br/>
              <w:t>• The supervisor’s notebook records a 2 a.m. line walk.</w:t>
              <w:br/>
              <w:t>• Gaps appear to coincide with fixture downtime.</w:t>
              <w:br/>
              <w:t>• An anonymous hotline tip points toward a particular person.</w:t>
            </w:r>
          </w:p>
        </w:tc>
        <w:tc>
          <w:tcPr>
            <w:tcW w:type="dxa" w:w="53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BF7EB"/>
          </w:tcPr>
          <w:p>
            <w:pPr>
              <w:spacing w:after="40"/>
            </w:pPr>
            <w:r>
              <w:rPr>
                <w:b/>
                <w:color w:val="16324F"/>
                <w:sz w:val="17"/>
              </w:rPr>
              <w:t>ILLUSTRATIVE NARRATIVE WORDING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6"/>
              </w:rPr>
              <w:t>“Within the reviewed eleven-night andon-printout set, gaps are present. The available scrapped-lot tag and the supervisor notebook entry for a 2 a.m. line walk are retained as separate sources. The observed timing appears to align with fixture downtime; this is possible context, not proof that a torque check was performed, late-recorded, missed, or falsely signed. The hotline report is an allegation/lead and does not establish a person’s identity, intent, or falsification. The reviewed records do not resolve the discrepancy.”</w:t>
            </w:r>
          </w:p>
        </w:tc>
      </w:tr>
    </w:tbl>
    <w:p>
      <w:pPr>
        <w:spacing w:before="60" w:after="20" w:line="240" w:lineRule="auto"/>
      </w:pPr>
      <w:r>
        <w:rPr>
          <w:rFonts w:ascii="Aptos" w:hAnsi="Aptos"/>
          <w:b/>
          <w:color w:val="16324F"/>
          <w:sz w:val="20"/>
        </w:rPr>
        <w:t>3  Record-system transition and completed end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6D5DE"/>
          <w:left w:val="single" w:sz="5" w:color="C6D5DE"/>
          <w:bottom w:val="single" w:sz="5" w:color="C6D5DE"/>
          <w:right w:val="single" w:sz="5" w:color="C6D5DE"/>
          <w:insideH w:val="single" w:sz="5" w:color="C6D5DE"/>
          <w:insideV w:val="single" w:sz="5" w:color="C6D5DE"/>
        </w:tblBorders>
      </w:tblPr>
      <w:tblGrid>
        <w:gridCol w:w="5371"/>
        <w:gridCol w:w="5371"/>
      </w:tblGrid>
      <w:tr>
        <w:tc>
          <w:tcPr>
            <w:tcW w:type="dxa" w:w="5371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  <w:shd w:fill="F7FAFB"/>
          </w:tcPr>
          <w:p>
            <w:pPr>
              <w:spacing w:after="20"/>
            </w:pPr>
            <w:r>
              <w:rPr>
                <w:b/>
                <w:color w:val="16324F"/>
                <w:sz w:val="17"/>
              </w:rPr>
              <w:t>Interim: paper → electronic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6"/>
              </w:rPr>
              <w:t>Bound the changeover period. Identify which records are paper sign-offs and which are electronic captures; their provenance, timing, and completeness may differ. Do not portray a transition gap as proof of performance or nonperformance.</w:t>
            </w:r>
          </w:p>
        </w:tc>
        <w:tc>
          <w:tcPr>
            <w:tcW w:type="dxa" w:w="5371"/>
            <w:tcMar>
              <w:top w:w="60" w:type="dxa"/>
              <w:start w:w="90" w:type="dxa"/>
              <w:bottom w:w="60" w:type="dxa"/>
              <w:end w:w="90" w:type="dxa"/>
            </w:tcMar>
            <w:vAlign w:val="top"/>
            <w:shd w:fill="F7FAFB"/>
          </w:tcPr>
          <w:p>
            <w:pPr>
              <w:spacing w:after="20"/>
            </w:pPr>
            <w:r>
              <w:rPr>
                <w:b/>
                <w:color w:val="16324F"/>
                <w:sz w:val="17"/>
              </w:rPr>
              <w:t>Completed electronic record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6"/>
              </w:rPr>
              <w:t>A usable end-state record supports a torque event time, linkage to the relevant job or unit, attributable user/event identity, result/status, and an auditable history of entries or changes. Describe these evidentiary attributes—not software steps.</w:t>
            </w:r>
          </w:p>
        </w:tc>
      </w:tr>
    </w:tbl>
    <w:p>
      <w:pPr>
        <w:spacing w:before="60" w:after="20" w:line="240" w:lineRule="auto"/>
      </w:pPr>
      <w:r>
        <w:rPr>
          <w:rFonts w:ascii="Aptos" w:hAnsi="Aptos"/>
          <w:b/>
          <w:color w:val="16324F"/>
          <w:sz w:val="19"/>
        </w:rPr>
        <w:t>RARE, SERIOUS EXCEPTION — possible customer release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6D5DE"/>
          <w:left w:val="single" w:sz="5" w:color="C6D5DE"/>
          <w:bottom w:val="single" w:sz="5" w:color="C6D5DE"/>
          <w:right w:val="single" w:sz="5" w:color="C6D5DE"/>
          <w:insideH w:val="single" w:sz="5" w:color="C6D5DE"/>
          <w:insideV w:val="single" w:sz="5" w:color="C6D5DE"/>
        </w:tblBorders>
      </w:tblPr>
      <w:tblGrid>
        <w:gridCol w:w="10742"/>
      </w:tblGrid>
      <w:tr>
        <w:tc>
          <w:tcPr>
            <w:tcW w:type="dxa" w:w="10742"/>
            <w:shd w:fill="F5E9C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6324F"/>
                <w:sz w:val="17"/>
              </w:rPr>
              <w:t xml:space="preserve">If evidence suggests an unchecked torque result may have permitted product release to a customer, </w:t>
            </w:r>
            <w:r>
              <w:rPr>
                <w:sz w:val="17"/>
              </w:rPr>
              <w:t>state the exposure and the records bearing on it: “The reviewed material raises a potential customer-release exposure; it does not establish that release occurred or that the result was unchecked.” Separate the possible exposure, the evidence, and any conclusion. Use the quality-file escalation language required by the organization without converting this briefing into an accusation or operating instruction.</w:t>
            </w:r>
          </w:p>
        </w:tc>
      </w:tr>
    </w:tbl>
    <w:p>
      <w:r>
        <w:br w:type="page"/>
      </w:r>
    </w:p>
    <w:p>
      <w:pPr>
        <w:spacing w:before="0" w:after="40" w:line="240" w:lineRule="auto"/>
      </w:pPr>
      <w:r>
        <w:rPr>
          <w:rFonts w:ascii="Aptos" w:hAnsi="Aptos"/>
          <w:b/>
          <w:color w:val="16324F"/>
          <w:sz w:val="20"/>
        </w:rPr>
        <w:t>4  General documentation context: United States and Ontario, Canada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6D5DE"/>
          <w:left w:val="single" w:sz="5" w:color="C6D5DE"/>
          <w:bottom w:val="single" w:sz="5" w:color="C6D5DE"/>
          <w:right w:val="single" w:sz="5" w:color="C6D5DE"/>
          <w:insideH w:val="single" w:sz="5" w:color="C6D5DE"/>
          <w:insideV w:val="single" w:sz="5" w:color="C6D5DE"/>
        </w:tblBorders>
      </w:tblPr>
      <w:tblGrid>
        <w:gridCol w:w="3581"/>
        <w:gridCol w:w="3581"/>
        <w:gridCol w:w="3581"/>
      </w:tblGrid>
      <w:tr>
        <w:trPr>
          <w:tblHeader w:val="true"/>
        </w:trPr>
        <w:tc>
          <w:tcPr>
            <w:tcW w:type="dxa" w:w="3581"/>
            <w:shd w:fill="16324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3581"/>
            <w:shd w:fill="16324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United States</w:t>
            </w:r>
          </w:p>
        </w:tc>
        <w:tc>
          <w:tcPr>
            <w:tcW w:type="dxa" w:w="3581"/>
            <w:shd w:fill="16324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Ontario, Canada</w:t>
            </w:r>
          </w:p>
        </w:tc>
      </w:tr>
      <w:tr>
        <w:tc>
          <w:tcPr>
            <w:tcW w:type="dxa" w:w="3581"/>
            <w:tcMar>
              <w:top w:w="35" w:type="dxa"/>
              <w:start w:w="55" w:type="dxa"/>
              <w:bottom w:w="35" w:type="dxa"/>
              <w:end w:w="55" w:type="dxa"/>
            </w:tcMar>
            <w:shd w:fill="F7FAFB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Shared expectation</w:t>
            </w:r>
          </w:p>
        </w:tc>
        <w:tc>
          <w:tcPr>
            <w:tcW w:type="dxa" w:w="3581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4"/>
              </w:rPr>
              <w:t>Neutral, traceable workplace and customer-quality records; preserve the basis and limits of a statement.</w:t>
            </w:r>
          </w:p>
        </w:tc>
        <w:tc>
          <w:tcPr>
            <w:tcW w:type="dxa" w:w="3581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4"/>
              </w:rPr>
              <w:t>Neutral, traceable workplace and customer-quality records; preserve the basis and limits of a statement.</w:t>
            </w:r>
          </w:p>
        </w:tc>
      </w:tr>
      <w:tr>
        <w:tc>
          <w:tcPr>
            <w:tcW w:type="dxa" w:w="3581"/>
            <w:tcMar>
              <w:top w:w="35" w:type="dxa"/>
              <w:start w:w="55" w:type="dxa"/>
              <w:bottom w:w="35" w:type="dxa"/>
              <w:end w:w="55" w:type="dxa"/>
            </w:tcMar>
            <w:shd w:fill="F7FAFB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Practical emphasis</w:t>
            </w:r>
          </w:p>
        </w:tc>
        <w:tc>
          <w:tcPr>
            <w:tcW w:type="dxa" w:w="3581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4"/>
              </w:rPr>
              <w:t>Maintain disciplined retention/access handling and a retrievable source trail for the quality-file context.</w:t>
            </w:r>
          </w:p>
        </w:tc>
        <w:tc>
          <w:tcPr>
            <w:tcW w:type="dxa" w:w="3581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4"/>
              </w:rPr>
              <w:t>Maintain disciplined retention/access handling and a retrievable source trail for the quality-file context, with care for appropriate access to records.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9CB4C2"/>
          <w:left w:val="single" w:sz="5" w:color="9CB4C2"/>
          <w:bottom w:val="single" w:sz="5" w:color="9CB4C2"/>
          <w:right w:val="single" w:sz="5" w:color="9CB4C2"/>
          <w:insideH w:val="single" w:sz="5" w:color="9CB4C2"/>
          <w:insideV w:val="single" w:sz="5" w:color="9CB4C2"/>
        </w:tblBorders>
      </w:tblPr>
      <w:tblGrid>
        <w:gridCol w:w="10742"/>
      </w:tblGrid>
      <w:tr>
        <w:tc>
          <w:tcPr>
            <w:tcW w:type="dxa" w:w="10742"/>
            <w:shd w:fill="EAF2F6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6324F"/>
                <w:sz w:val="17"/>
              </w:rPr>
              <w:t xml:space="preserve">DRAFTING STANDARD  </w:t>
            </w:r>
            <w:r>
              <w:rPr>
                <w:sz w:val="17"/>
              </w:rPr>
              <w:t>A defensible narrative lets a reader retrieve each source, see the time-bound facts, recognize each inference and limitation, and understand exactly what the evidence does—and does not—establish.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47" w:right="749" w:bottom="461" w:left="749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0"/>
        <w:sz w:val="14"/>
      </w:rPr>
      <w:t>Peer reviewer briefing  |  Internal training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246B8E"/>
        <w:sz w:val="15"/>
      </w:rPr>
      <w:t>HERONBANK SYSTEMS  /  QUALITY FILE TRAINING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