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0" w:line="240" w:lineRule="auto"/>
      </w:pPr>
      <w:r>
        <w:rPr>
          <w:rFonts w:ascii="DejaVu Sans" w:hAnsi="DejaVu Sans" w:eastAsia="DejaVu Sans"/>
          <w:b/>
          <w:i w:val="0"/>
          <w:color w:val="006A78"/>
          <w:sz w:val="15"/>
        </w:rPr>
        <w:t>MEDICATION-COLLECTION NOTICE</w:t>
      </w:r>
    </w:p>
    <w:p>
      <w:pPr>
        <w:keepNext/>
        <w:spacing w:before="0" w:after="60" w:line="235" w:lineRule="auto"/>
      </w:pPr>
      <w:r>
        <w:rPr>
          <w:rFonts w:ascii="DejaVu Sans" w:hAnsi="DejaVu Sans" w:eastAsia="DejaVu Sans"/>
          <w:b/>
          <w:i w:val="0"/>
          <w:color w:val="004C57"/>
          <w:sz w:val="34"/>
        </w:rPr>
        <w:t>Compliance Assessment</w:t>
      </w:r>
    </w:p>
    <w:p>
      <w:pPr>
        <w:keepNext/>
        <w:spacing w:before="0" w:after="100" w:line="240" w:lineRule="auto"/>
      </w:pPr>
      <w:r>
        <w:rPr>
          <w:rFonts w:ascii="DejaVu Sans" w:hAnsi="DejaVu Sans" w:eastAsia="DejaVu Sans"/>
          <w:b w:val="0"/>
          <w:i w:val="0"/>
          <w:color w:val="5A6872"/>
          <w:sz w:val="18"/>
        </w:rPr>
        <w:t>Dovestone Cooperative proposed customer notice</w:t>
      </w:r>
    </w:p>
    <w:tbl>
      <w:tblPr>
        <w:tblW w:type="auto" w:w="0"/>
        <w:jc w:val="center"/>
        <w:tblLayout w:type="fixed"/>
        <w:tblLook w:firstColumn="1" w:firstRow="1" w:lastColumn="0" w:lastRow="0" w:noHBand="0" w:noVBand="1" w:val="04A0"/>
      </w:tblPr>
      <w:tblGrid>
        <w:gridCol w:w="5227"/>
        <w:gridCol w:w="5227"/>
      </w:tblGrid>
      <w:tr>
        <w:tc>
          <w:tcPr>
            <w:tcW w:type="dxa" w:w="5227"/>
            <w:shd w:fill="F3F5F6" w:val="clear"/>
            <w:tcMar>
              <w:top w:w="75" w:type="dxa"/>
              <w:start w:w="95" w:type="dxa"/>
              <w:bottom w:w="70" w:type="dxa"/>
              <w:end w:w="95" w:type="dxa"/>
            </w:tcMar>
            <w:vAlign w:val="center"/>
            <w:tcBorders>
              <w:top w:val="single" w:sz="4" w:color="C9D4D8"/>
              <w:bottom w:val="single" w:sz="4" w:color="C9D4D8"/>
              <w:start w:val="single" w:sz="4" w:color="C9D4D8"/>
              <w:end w:val="single" w:sz="4" w:color="C9D4D8"/>
            </w:tcBorders>
          </w:tcPr>
          <w:p>
            <w:pPr>
              <w:keepNext w:val="0"/>
              <w:spacing w:before="0" w:after="0" w:line="235" w:lineRule="auto"/>
            </w:pPr>
            <w:r>
              <w:rPr>
                <w:rFonts w:ascii="DejaVu Sans" w:hAnsi="DejaVu Sans" w:eastAsia="DejaVu Sans"/>
                <w:b/>
                <w:i w:val="0"/>
                <w:color w:val="5A6872"/>
                <w:sz w:val="13"/>
              </w:rPr>
              <w:t>ASSESSMENT STATUS</w:t>
              <w:br/>
            </w:r>
            <w:r>
              <w:rPr>
                <w:rFonts w:ascii="DejaVu Sans" w:hAnsi="DejaVu Sans" w:eastAsia="DejaVu Sans"/>
                <w:b w:val="0"/>
                <w:i w:val="0"/>
                <w:color w:val="1E2933"/>
                <w:sz w:val="16"/>
              </w:rPr>
              <w:t>DRAFT FOR EXECUTIVE DECISION - proposed copy is not a final notice</w:t>
            </w:r>
          </w:p>
        </w:tc>
        <w:tc>
          <w:tcPr>
            <w:tcW w:type="dxa" w:w="5227"/>
            <w:shd w:fill="F3F5F6" w:val="clear"/>
            <w:tcMar>
              <w:top w:w="75" w:type="dxa"/>
              <w:start w:w="95" w:type="dxa"/>
              <w:bottom w:w="70" w:type="dxa"/>
              <w:end w:w="95" w:type="dxa"/>
            </w:tcMar>
            <w:vAlign w:val="center"/>
            <w:tcBorders>
              <w:top w:val="single" w:sz="4" w:color="C9D4D8"/>
              <w:bottom w:val="single" w:sz="4" w:color="C9D4D8"/>
              <w:start w:val="single" w:sz="4" w:color="C9D4D8"/>
              <w:end w:val="single" w:sz="4" w:color="C9D4D8"/>
            </w:tcBorders>
          </w:tcPr>
          <w:p>
            <w:pPr>
              <w:keepNext w:val="0"/>
              <w:spacing w:before="0" w:after="0" w:line="235" w:lineRule="auto"/>
            </w:pPr>
            <w:r>
              <w:rPr>
                <w:rFonts w:ascii="DejaVu Sans" w:hAnsi="DejaVu Sans" w:eastAsia="DejaVu Sans"/>
                <w:b/>
                <w:i w:val="0"/>
                <w:color w:val="5A6872"/>
                <w:sz w:val="13"/>
              </w:rPr>
              <w:t>PACK CLOSE</w:t>
              <w:br/>
            </w:r>
            <w:r>
              <w:rPr>
                <w:rFonts w:ascii="DejaVu Sans" w:hAnsi="DejaVu Sans" w:eastAsia="DejaVu Sans"/>
                <w:b w:val="0"/>
                <w:i w:val="0"/>
                <w:color w:val="1E2933"/>
                <w:sz w:val="16"/>
              </w:rPr>
              <w:t>4 p.m., 18 September 2026</w:t>
            </w:r>
          </w:p>
        </w:tc>
      </w:tr>
      <w:tr>
        <w:tc>
          <w:tcPr>
            <w:tcW w:type="dxa" w:w="5227"/>
            <w:shd w:fill="F3F5F6" w:val="clear"/>
            <w:tcMar>
              <w:top w:w="75" w:type="dxa"/>
              <w:start w:w="95" w:type="dxa"/>
              <w:bottom w:w="70" w:type="dxa"/>
              <w:end w:w="95" w:type="dxa"/>
            </w:tcMar>
            <w:vAlign w:val="center"/>
            <w:tcBorders>
              <w:top w:val="single" w:sz="4" w:color="C9D4D8"/>
              <w:bottom w:val="single" w:sz="4" w:color="C9D4D8"/>
              <w:start w:val="single" w:sz="4" w:color="C9D4D8"/>
              <w:end w:val="single" w:sz="4" w:color="C9D4D8"/>
            </w:tcBorders>
          </w:tcPr>
          <w:p>
            <w:pPr>
              <w:keepNext w:val="0"/>
              <w:spacing w:before="0" w:after="0" w:line="235" w:lineRule="auto"/>
            </w:pPr>
            <w:r>
              <w:rPr>
                <w:rFonts w:ascii="DejaVu Sans" w:hAnsi="DejaVu Sans" w:eastAsia="DejaVu Sans"/>
                <w:b/>
                <w:i w:val="0"/>
                <w:color w:val="5A6872"/>
                <w:sz w:val="13"/>
              </w:rPr>
              <w:t>PREPARED FOR</w:t>
              <w:br/>
            </w:r>
            <w:r>
              <w:rPr>
                <w:rFonts w:ascii="DejaVu Sans" w:hAnsi="DejaVu Sans" w:eastAsia="DejaVu Sans"/>
                <w:b w:val="0"/>
                <w:i w:val="0"/>
                <w:color w:val="1E2933"/>
                <w:sz w:val="16"/>
              </w:rPr>
              <w:t>Dagny Magnusson, Executive Sponsor; cross-functional team</w:t>
            </w:r>
          </w:p>
        </w:tc>
        <w:tc>
          <w:tcPr>
            <w:tcW w:type="dxa" w:w="5227"/>
            <w:shd w:fill="F3F5F6" w:val="clear"/>
            <w:tcMar>
              <w:top w:w="75" w:type="dxa"/>
              <w:start w:w="95" w:type="dxa"/>
              <w:bottom w:w="70" w:type="dxa"/>
              <w:end w:w="95" w:type="dxa"/>
            </w:tcMar>
            <w:vAlign w:val="center"/>
            <w:tcBorders>
              <w:top w:val="single" w:sz="4" w:color="C9D4D8"/>
              <w:bottom w:val="single" w:sz="4" w:color="C9D4D8"/>
              <w:start w:val="single" w:sz="4" w:color="C9D4D8"/>
              <w:end w:val="single" w:sz="4" w:color="C9D4D8"/>
            </w:tcBorders>
          </w:tcPr>
          <w:p>
            <w:pPr>
              <w:keepNext w:val="0"/>
              <w:spacing w:before="0" w:after="0" w:line="235" w:lineRule="auto"/>
            </w:pPr>
            <w:r>
              <w:rPr>
                <w:rFonts w:ascii="DejaVu Sans" w:hAnsi="DejaVu Sans" w:eastAsia="DejaVu Sans"/>
                <w:b/>
                <w:i w:val="0"/>
                <w:color w:val="5A6872"/>
                <w:sz w:val="13"/>
              </w:rPr>
              <w:t>DECISION REQUIRED</w:t>
              <w:br/>
            </w:r>
            <w:r>
              <w:rPr>
                <w:rFonts w:ascii="DejaVu Sans" w:hAnsi="DejaVu Sans" w:eastAsia="DejaVu Sans"/>
                <w:b w:val="0"/>
                <w:i w:val="0"/>
                <w:color w:val="1E2933"/>
                <w:sz w:val="16"/>
              </w:rPr>
              <w:t>Reject the guarantee; authorise only controlled neutral replacement wording</w:t>
            </w:r>
          </w:p>
        </w:tc>
      </w:tr>
    </w:tbl>
    <w:p>
      <w:pPr>
        <w:keepNext w:val="0"/>
        <w:spacing w:before="80" w:after="0" w:line="216" w:lineRule="auto"/>
      </w:pPr>
      <w:r>
        <w:rPr>
          <w:rFonts w:ascii="DejaVu Sans" w:hAnsi="DejaVu Sans" w:eastAsia="DejaVu Sans"/>
          <w:b w:val="0"/>
          <w:i w:val="0"/>
          <w:color w:val="1E2933"/>
          <w:sz w:val="2"/>
        </w:rPr>
      </w:r>
    </w:p>
    <w:tbl>
      <w:tblPr>
        <w:tblW w:type="auto" w:w="0"/>
        <w:tblLayout w:type="fixed"/>
        <w:tblLook w:firstColumn="1" w:firstRow="1" w:lastColumn="0" w:lastRow="0" w:noHBand="0" w:noVBand="1" w:val="04A0"/>
      </w:tblPr>
      <w:tblGrid>
        <w:gridCol w:w="10454"/>
      </w:tblGrid>
      <w:tr>
        <w:tc>
          <w:tcPr>
            <w:tcW w:type="dxa" w:w="10454"/>
            <w:shd w:fill="E7F3F4" w:val="clear"/>
            <w:tcMar>
              <w:top w:w="100" w:type="dxa"/>
              <w:start w:w="130" w:type="dxa"/>
              <w:bottom w:w="100" w:type="dxa"/>
              <w:end w:w="130" w:type="dxa"/>
            </w:tcMar>
            <w:tcBorders>
              <w:top w:val="single" w:sz="10" w:color="006A78"/>
              <w:bottom w:val="single" w:sz="10" w:color="006A78"/>
              <w:start w:val="single" w:sz="10" w:color="006A78"/>
              <w:end w:val="single" w:sz="10" w:color="006A78"/>
            </w:tcBorders>
          </w:tcPr>
          <w:p>
            <w:pPr>
              <w:keepNext w:val="0"/>
              <w:spacing w:before="0" w:after="30" w:line="235" w:lineRule="auto"/>
            </w:pPr>
            <w:r>
              <w:rPr>
                <w:rFonts w:ascii="DejaVu Sans" w:hAnsi="DejaVu Sans" w:eastAsia="DejaVu Sans"/>
                <w:b/>
                <w:i w:val="0"/>
                <w:color w:val="004C57"/>
                <w:sz w:val="14"/>
              </w:rPr>
              <w:t>EXECUTIVE RECOMMENDATION</w:t>
            </w:r>
          </w:p>
          <w:p>
            <w:pPr>
              <w:keepNext w:val="0"/>
              <w:spacing w:before="0" w:after="0" w:line="240" w:lineRule="auto"/>
            </w:pPr>
            <w:r>
              <w:rPr>
                <w:rFonts w:ascii="DejaVu Sans" w:hAnsi="DejaVu Sans" w:eastAsia="DejaVu Sans"/>
                <w:b/>
                <w:i w:val="0"/>
                <w:color w:val="004C57"/>
                <w:sz w:val="20"/>
              </w:rPr>
              <w:t xml:space="preserve">DO NOT APPROVE THE NOTICE AS DRAFTED. </w:t>
            </w:r>
            <w:r>
              <w:rPr>
                <w:rFonts w:ascii="DejaVu Sans" w:hAnsi="DejaVu Sans" w:eastAsia="DejaVu Sans"/>
                <w:b w:val="0"/>
                <w:i w:val="0"/>
                <w:color w:val="1E2933"/>
                <w:sz w:val="17"/>
              </w:rPr>
              <w:t>Do not publish a statement guaranteeing same-day resolution of any collection issue. Approve only the neutral replacement wording on page 2, subject to Communications and Pharmacy release control. Hold any performance or contractual promise for Operations and Legal review.</w:t>
            </w:r>
          </w:p>
        </w:tc>
      </w:tr>
    </w:tbl>
    <w:p>
      <w:pPr>
        <w:keepNext/>
        <w:spacing w:before="120" w:after="40" w:line="240" w:lineRule="auto"/>
      </w:pPr>
      <w:r>
        <w:rPr>
          <w:rFonts w:ascii="DejaVu Sans" w:hAnsi="DejaVu Sans" w:eastAsia="DejaVu Sans"/>
          <w:b/>
          <w:i w:val="0"/>
          <w:color w:val="004C57"/>
          <w:sz w:val="22"/>
        </w:rPr>
        <w:t>Scope and decision boundary</w:t>
      </w:r>
    </w:p>
    <w:p>
      <w:pPr>
        <w:keepNext w:val="0"/>
        <w:spacing w:before="0" w:after="40" w:line="250" w:lineRule="auto"/>
      </w:pPr>
      <w:r>
        <w:rPr>
          <w:rFonts w:ascii="DejaVu Sans" w:hAnsi="DejaVu Sans" w:eastAsia="DejaVu Sans"/>
          <w:b/>
          <w:i w:val="0"/>
          <w:color w:val="1E2933"/>
          <w:sz w:val="17"/>
        </w:rPr>
        <w:t xml:space="preserve">Scope: </w:t>
      </w:r>
      <w:r>
        <w:rPr>
          <w:rFonts w:ascii="DejaVu Sans" w:hAnsi="DejaVu Sans" w:eastAsia="DejaVu Sans"/>
          <w:b w:val="0"/>
          <w:i w:val="0"/>
          <w:color w:val="1E2933"/>
          <w:sz w:val="17"/>
        </w:rPr>
        <w:t>This assessment covers the notice's pharmacy-compliance claims and its customer-facing operational commitments to the limited extent necessary to judge whether the wording is supportable, safe, and appropriate in a pharmacy communication. An operational promise in this notice cannot be ignored because Operations owns delivery.</w:t>
      </w:r>
    </w:p>
    <w:p>
      <w:pPr>
        <w:keepNext w:val="0"/>
        <w:spacing w:before="0" w:after="40" w:line="250" w:lineRule="auto"/>
      </w:pPr>
      <w:r>
        <w:rPr>
          <w:rFonts w:ascii="DejaVu Sans" w:hAnsi="DejaVu Sans" w:eastAsia="DejaVu Sans"/>
          <w:b/>
          <w:i w:val="0"/>
          <w:color w:val="1E2933"/>
          <w:sz w:val="17"/>
        </w:rPr>
        <w:t xml:space="preserve">Boundary: </w:t>
      </w:r>
      <w:r>
        <w:rPr>
          <w:rFonts w:ascii="DejaVu Sans" w:hAnsi="DejaVu Sans" w:eastAsia="DejaVu Sans"/>
          <w:b w:val="0"/>
          <w:i w:val="0"/>
          <w:color w:val="1E2933"/>
          <w:sz w:val="17"/>
        </w:rPr>
        <w:t>Pharmacy assesses communication integrity and medication-safety implications. It does not certify staffing, workflow, capacity, service performance, service levels, or operational feasibility. Operations owns service design and performance evidence. Legal / contract owner retains contract interpretation, enforceability, authority, and final legal-wording decisions.</w:t>
      </w:r>
    </w:p>
    <w:p>
      <w:pPr>
        <w:keepNext/>
        <w:spacing w:before="120" w:after="40" w:line="240" w:lineRule="auto"/>
      </w:pPr>
      <w:r>
        <w:rPr>
          <w:rFonts w:ascii="DejaVu Sans" w:hAnsi="DejaVu Sans" w:eastAsia="DejaVu Sans"/>
          <w:b/>
          <w:i w:val="0"/>
          <w:color w:val="004C57"/>
          <w:sz w:val="22"/>
        </w:rPr>
        <w:t>Evidence position and claim dispositions</w:t>
      </w:r>
    </w:p>
    <w:p>
      <w:pPr>
        <w:keepNext w:val="0"/>
        <w:spacing w:before="0" w:after="40" w:line="250" w:lineRule="auto"/>
      </w:pPr>
      <w:r>
        <w:rPr>
          <w:rFonts w:ascii="DejaVu Sans" w:hAnsi="DejaVu Sans" w:eastAsia="DejaVu Sans"/>
          <w:b w:val="0"/>
          <w:i w:val="0"/>
          <w:color w:val="1E2933"/>
          <w:sz w:val="17"/>
        </w:rPr>
        <w:t>The completed contract-bundle and frozen service-log review supports neither the same-day guarantee nor a reliable outcome claim. This is lack of substantiation, not evidence that same-day resolution never occurs. The underlying records are unavailable before pack close; Operations and Legal cannot complete a full review by then. The minimum-safe fallback is to withhold disputed claims and release only neutral controlled wording.</w:t>
      </w:r>
    </w:p>
    <w:tbl>
      <w:tblPr>
        <w:tblW w:type="auto" w:w="0"/>
        <w:jc w:val="center"/>
        <w:tblLayout w:type="fixed"/>
        <w:tblLook w:firstColumn="1" w:firstRow="1" w:lastColumn="0" w:lastRow="0" w:noHBand="0" w:noVBand="1" w:val="04A0"/>
      </w:tblPr>
      <w:tblGrid>
        <w:gridCol w:w="3485"/>
        <w:gridCol w:w="3485"/>
        <w:gridCol w:w="3485"/>
      </w:tblGrid>
      <w:tr>
        <w:tc>
          <w:tcPr>
            <w:tcW w:type="dxa" w:w="2304"/>
            <w:shd w:fill="004C57" w:val="clear"/>
            <w:tcMar>
              <w:top w:w="55" w:type="dxa"/>
              <w:start w:w="70" w:type="dxa"/>
              <w:bottom w:w="55" w:type="dxa"/>
              <w:end w:w="70" w:type="dxa"/>
            </w:tcMar>
            <w:vAlign w:val="center"/>
          </w:tcPr>
          <w:p>
            <w:pPr>
              <w:keepNext w:val="0"/>
              <w:spacing w:before="0" w:after="0" w:line="228" w:lineRule="auto"/>
            </w:pPr>
            <w:r>
              <w:rPr>
                <w:rFonts w:ascii="DejaVu Sans" w:hAnsi="DejaVu Sans" w:eastAsia="DejaVu Sans"/>
                <w:b/>
                <w:i w:val="0"/>
                <w:color w:val="FFFFFF"/>
                <w:sz w:val="14"/>
              </w:rPr>
              <w:t>Material claim</w:t>
            </w:r>
          </w:p>
        </w:tc>
        <w:tc>
          <w:tcPr>
            <w:tcW w:type="dxa" w:w="1800"/>
            <w:shd w:fill="004C57" w:val="clear"/>
            <w:tcMar>
              <w:top w:w="55" w:type="dxa"/>
              <w:start w:w="70" w:type="dxa"/>
              <w:bottom w:w="55" w:type="dxa"/>
              <w:end w:w="70" w:type="dxa"/>
            </w:tcMar>
            <w:vAlign w:val="center"/>
          </w:tcPr>
          <w:p>
            <w:pPr>
              <w:keepNext w:val="0"/>
              <w:spacing w:before="0" w:after="0" w:line="228" w:lineRule="auto"/>
            </w:pPr>
            <w:r>
              <w:rPr>
                <w:rFonts w:ascii="DejaVu Sans" w:hAnsi="DejaVu Sans" w:eastAsia="DejaVu Sans"/>
                <w:b/>
                <w:i w:val="0"/>
                <w:color w:val="FFFFFF"/>
                <w:sz w:val="14"/>
              </w:rPr>
              <w:t>Disposition</w:t>
            </w:r>
          </w:p>
        </w:tc>
        <w:tc>
          <w:tcPr>
            <w:tcW w:type="dxa" w:w="6350"/>
            <w:shd w:fill="004C57" w:val="clear"/>
            <w:tcMar>
              <w:top w:w="55" w:type="dxa"/>
              <w:start w:w="70" w:type="dxa"/>
              <w:bottom w:w="55" w:type="dxa"/>
              <w:end w:w="70" w:type="dxa"/>
            </w:tcMar>
            <w:vAlign w:val="center"/>
          </w:tcPr>
          <w:p>
            <w:pPr>
              <w:keepNext w:val="0"/>
              <w:spacing w:before="0" w:after="0" w:line="228" w:lineRule="auto"/>
            </w:pPr>
            <w:r>
              <w:rPr>
                <w:rFonts w:ascii="DejaVu Sans" w:hAnsi="DejaVu Sans" w:eastAsia="DejaVu Sans"/>
                <w:b/>
                <w:i w:val="0"/>
                <w:color w:val="FFFFFF"/>
                <w:sz w:val="14"/>
              </w:rPr>
              <w:t>Why / required control</w:t>
            </w:r>
          </w:p>
        </w:tc>
      </w:tr>
      <w:tr>
        <w:tc>
          <w:tcPr>
            <w:tcW w:type="dxa" w:w="3485"/>
            <w:tcMar>
              <w:top w:w="55" w:type="dxa"/>
              <w:start w:w="70" w:type="dxa"/>
              <w:bottom w:w="55" w:type="dxa"/>
              <w:end w:w="70"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i w:val="0"/>
                <w:color w:val="1E2933"/>
                <w:sz w:val="15"/>
              </w:rPr>
              <w:t>Same-day resolution of any collection issue</w:t>
            </w:r>
          </w:p>
        </w:tc>
        <w:tc>
          <w:tcPr>
            <w:tcW w:type="dxa" w:w="3485"/>
            <w:tcMar>
              <w:top w:w="55" w:type="dxa"/>
              <w:start w:w="70" w:type="dxa"/>
              <w:bottom w:w="55" w:type="dxa"/>
              <w:end w:w="70" w:type="dxa"/>
            </w:tcMar>
            <w:vAlign w:val="top"/>
            <w:tcBorders>
              <w:top w:val="single" w:sz="4" w:color="C9D4D8"/>
              <w:bottom w:val="single" w:sz="4" w:color="C9D4D8"/>
              <w:start w:val="single" w:sz="4" w:color="C9D4D8"/>
              <w:end w:val="single" w:sz="4" w:color="C9D4D8"/>
            </w:tcBorders>
            <w:shd w:fill="FCEBEC" w:val="clear"/>
          </w:tcPr>
          <w:p>
            <w:pPr>
              <w:keepNext w:val="0"/>
              <w:spacing w:before="0" w:after="0" w:line="223" w:lineRule="auto"/>
            </w:pPr>
            <w:r>
              <w:rPr>
                <w:rFonts w:ascii="DejaVu Sans" w:hAnsi="DejaVu Sans" w:eastAsia="DejaVu Sans"/>
                <w:b/>
                <w:i w:val="0"/>
                <w:color w:val="9B1C31"/>
                <w:sz w:val="13"/>
              </w:rPr>
              <w:t>NOT APPROVED FOR CUSTOMER USE</w:t>
            </w:r>
          </w:p>
        </w:tc>
        <w:tc>
          <w:tcPr>
            <w:tcW w:type="dxa" w:w="3485"/>
            <w:tcMar>
              <w:top w:w="55" w:type="dxa"/>
              <w:start w:w="70" w:type="dxa"/>
              <w:bottom w:w="55" w:type="dxa"/>
              <w:end w:w="70"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val="0"/>
                <w:i w:val="0"/>
                <w:color w:val="1E2933"/>
                <w:sz w:val="15"/>
              </w:rPr>
              <w:t>Neither completed review supports it. An informal stakeholder assurance is not a contract term, approved policy, validated capability, or reliable service level. Remove or withhold unless authorised evidence, an accountable Operations owner, and Legal review support a future claim.</w:t>
            </w:r>
          </w:p>
        </w:tc>
      </w:tr>
      <w:tr>
        <w:tc>
          <w:tcPr>
            <w:tcW w:type="dxa" w:w="3485"/>
            <w:tcMar>
              <w:top w:w="55" w:type="dxa"/>
              <w:start w:w="70" w:type="dxa"/>
              <w:bottom w:w="55" w:type="dxa"/>
              <w:end w:w="70"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i w:val="0"/>
                <w:color w:val="1E2933"/>
                <w:sz w:val="15"/>
              </w:rPr>
              <w:t>A notice or status means collection can occur</w:t>
            </w:r>
          </w:p>
        </w:tc>
        <w:tc>
          <w:tcPr>
            <w:tcW w:type="dxa" w:w="3485"/>
            <w:tcMar>
              <w:top w:w="55" w:type="dxa"/>
              <w:start w:w="70" w:type="dxa"/>
              <w:bottom w:w="55" w:type="dxa"/>
              <w:end w:w="70" w:type="dxa"/>
            </w:tcMar>
            <w:vAlign w:val="top"/>
            <w:tcBorders>
              <w:top w:val="single" w:sz="4" w:color="C9D4D8"/>
              <w:bottom w:val="single" w:sz="4" w:color="C9D4D8"/>
              <w:start w:val="single" w:sz="4" w:color="C9D4D8"/>
              <w:end w:val="single" w:sz="4" w:color="C9D4D8"/>
            </w:tcBorders>
            <w:shd w:fill="EAF2F8" w:val="clear"/>
          </w:tcPr>
          <w:p>
            <w:pPr>
              <w:keepNext w:val="0"/>
              <w:spacing w:before="0" w:after="0" w:line="223" w:lineRule="auto"/>
            </w:pPr>
            <w:r>
              <w:rPr>
                <w:rFonts w:ascii="DejaVu Sans" w:hAnsi="DejaVu Sans" w:eastAsia="DejaVu Sans"/>
                <w:b/>
                <w:i w:val="0"/>
                <w:color w:val="004C57"/>
                <w:sz w:val="13"/>
              </w:rPr>
              <w:t>MUST CHANGE</w:t>
            </w:r>
          </w:p>
        </w:tc>
        <w:tc>
          <w:tcPr>
            <w:tcW w:type="dxa" w:w="3485"/>
            <w:tcMar>
              <w:top w:w="55" w:type="dxa"/>
              <w:start w:w="70" w:type="dxa"/>
              <w:bottom w:w="55" w:type="dxa"/>
              <w:end w:w="70"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val="0"/>
                <w:i w:val="0"/>
                <w:color w:val="1E2933"/>
                <w:sz w:val="15"/>
              </w:rPr>
              <w:t>A status message is communication, not final handover eligibility. Medication readiness, acknowledgement of a query, triage/investigation, and resolution are separate events. Handover remains subject to pharmacy checks, identity or authority verification, and applicable requirements.</w:t>
            </w:r>
          </w:p>
        </w:tc>
      </w:tr>
      <w:tr>
        <w:tc>
          <w:tcPr>
            <w:tcW w:type="dxa" w:w="3485"/>
            <w:tcMar>
              <w:top w:w="55" w:type="dxa"/>
              <w:start w:w="70" w:type="dxa"/>
              <w:bottom w:w="55" w:type="dxa"/>
              <w:end w:w="70"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i w:val="0"/>
                <w:color w:val="1E2933"/>
                <w:sz w:val="15"/>
              </w:rPr>
              <w:t>Outcome or performance implied from the frozen log</w:t>
            </w:r>
          </w:p>
        </w:tc>
        <w:tc>
          <w:tcPr>
            <w:tcW w:type="dxa" w:w="3485"/>
            <w:tcMar>
              <w:top w:w="55" w:type="dxa"/>
              <w:start w:w="70" w:type="dxa"/>
              <w:bottom w:w="55" w:type="dxa"/>
              <w:end w:w="70" w:type="dxa"/>
            </w:tcMar>
            <w:vAlign w:val="top"/>
            <w:tcBorders>
              <w:top w:val="single" w:sz="4" w:color="C9D4D8"/>
              <w:bottom w:val="single" w:sz="4" w:color="C9D4D8"/>
              <w:start w:val="single" w:sz="4" w:color="C9D4D8"/>
              <w:end w:val="single" w:sz="4" w:color="C9D4D8"/>
            </w:tcBorders>
            <w:shd w:fill="F3F5F6" w:val="clear"/>
          </w:tcPr>
          <w:p>
            <w:pPr>
              <w:keepNext w:val="0"/>
              <w:spacing w:before="0" w:after="0" w:line="223" w:lineRule="auto"/>
            </w:pPr>
            <w:r>
              <w:rPr>
                <w:rFonts w:ascii="DejaVu Sans" w:hAnsi="DejaVu Sans" w:eastAsia="DejaVu Sans"/>
                <w:b/>
                <w:i w:val="0"/>
                <w:color w:val="004C57"/>
                <w:sz w:val="13"/>
              </w:rPr>
              <w:t>NOT SUPPORTABLE</w:t>
            </w:r>
          </w:p>
        </w:tc>
        <w:tc>
          <w:tcPr>
            <w:tcW w:type="dxa" w:w="3485"/>
            <w:tcMar>
              <w:top w:w="55" w:type="dxa"/>
              <w:start w:w="70" w:type="dxa"/>
              <w:bottom w:w="55" w:type="dxa"/>
              <w:end w:w="70"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val="0"/>
                <w:i w:val="0"/>
                <w:color w:val="1E2933"/>
                <w:sz w:val="15"/>
              </w:rPr>
              <w:t>Duplicate cases prevent reliable counting or a rate. Conflicting uses of "ready," "pending," and "resolved" prevent a definitive customer status or a single outcome for every case. Reconcile affected records and govern definitions before claiming performance.</w:t>
            </w:r>
          </w:p>
        </w:tc>
      </w:tr>
      <w:tr>
        <w:tc>
          <w:tcPr>
            <w:tcW w:type="dxa" w:w="3485"/>
            <w:tcMar>
              <w:top w:w="55" w:type="dxa"/>
              <w:start w:w="70" w:type="dxa"/>
              <w:bottom w:w="55" w:type="dxa"/>
              <w:end w:w="70"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i w:val="0"/>
                <w:color w:val="1E2933"/>
                <w:sz w:val="15"/>
              </w:rPr>
              <w:t>Central SMS and standard labels are in use everywhere</w:t>
            </w:r>
          </w:p>
        </w:tc>
        <w:tc>
          <w:tcPr>
            <w:tcW w:type="dxa" w:w="3485"/>
            <w:tcMar>
              <w:top w:w="55" w:type="dxa"/>
              <w:start w:w="70" w:type="dxa"/>
              <w:bottom w:w="55" w:type="dxa"/>
              <w:end w:w="70" w:type="dxa"/>
            </w:tcMar>
            <w:vAlign w:val="top"/>
            <w:tcBorders>
              <w:top w:val="single" w:sz="4" w:color="C9D4D8"/>
              <w:bottom w:val="single" w:sz="4" w:color="C9D4D8"/>
              <w:start w:val="single" w:sz="4" w:color="C9D4D8"/>
              <w:end w:val="single" w:sz="4" w:color="C9D4D8"/>
            </w:tcBorders>
            <w:shd w:fill="F3F5F6" w:val="clear"/>
          </w:tcPr>
          <w:p>
            <w:pPr>
              <w:keepNext w:val="0"/>
              <w:spacing w:before="0" w:after="0" w:line="223" w:lineRule="auto"/>
            </w:pPr>
            <w:r>
              <w:rPr>
                <w:rFonts w:ascii="DejaVu Sans" w:hAnsi="DejaVu Sans" w:eastAsia="DejaVu Sans"/>
                <w:b/>
                <w:i w:val="0"/>
                <w:color w:val="004C57"/>
                <w:sz w:val="13"/>
              </w:rPr>
              <w:t>NOT CURRENT-STATE CLAIMABLE</w:t>
            </w:r>
          </w:p>
        </w:tc>
        <w:tc>
          <w:tcPr>
            <w:tcW w:type="dxa" w:w="3485"/>
            <w:tcMar>
              <w:top w:w="55" w:type="dxa"/>
              <w:start w:w="70" w:type="dxa"/>
              <w:bottom w:w="55" w:type="dxa"/>
              <w:end w:w="70"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val="0"/>
                <w:i w:val="0"/>
                <w:color w:val="1E2933"/>
                <w:sz w:val="15"/>
              </w:rPr>
              <w:t>Locations still use mixed phone, SMS, and local practices during the transition. Use channel-neutral wording now; do not represent the future-state process as universal until it is controlled and deployed.</w:t>
            </w:r>
          </w:p>
        </w:tc>
      </w:tr>
    </w:tbl>
    <w:p>
      <w:r>
        <w:br w:type="page"/>
      </w:r>
    </w:p>
    <w:p>
      <w:pPr>
        <w:keepNext/>
        <w:spacing w:before="0" w:after="20" w:line="240" w:lineRule="auto"/>
      </w:pPr>
      <w:r>
        <w:rPr>
          <w:rFonts w:ascii="DejaVu Sans" w:hAnsi="DejaVu Sans" w:eastAsia="DejaVu Sans"/>
          <w:b/>
          <w:i w:val="0"/>
          <w:color w:val="006A78"/>
          <w:sz w:val="15"/>
        </w:rPr>
        <w:t>PROPOSED CUSTOMER COPY</w:t>
      </w:r>
    </w:p>
    <w:p>
      <w:pPr>
        <w:keepNext/>
        <w:spacing w:before="0" w:after="60" w:line="235" w:lineRule="auto"/>
      </w:pPr>
      <w:r>
        <w:rPr>
          <w:rFonts w:ascii="DejaVu Sans" w:hAnsi="DejaVu Sans" w:eastAsia="DejaVu Sans"/>
          <w:b/>
          <w:i w:val="0"/>
          <w:color w:val="004C57"/>
          <w:sz w:val="28"/>
        </w:rPr>
        <w:t>Replacement wording for conditional approval</w:t>
      </w:r>
    </w:p>
    <w:p>
      <w:pPr>
        <w:keepNext w:val="0"/>
        <w:spacing w:before="0" w:after="80" w:line="250" w:lineRule="auto"/>
      </w:pPr>
      <w:r>
        <w:rPr>
          <w:rFonts w:ascii="DejaVu Sans" w:hAnsi="DejaVu Sans" w:eastAsia="DejaVu Sans"/>
          <w:b w:val="0"/>
          <w:i w:val="0"/>
          <w:color w:val="1E2933"/>
          <w:sz w:val="17"/>
        </w:rPr>
        <w:t>This is the only customer-facing wording recommended for the pack. It contains no fixed response or resolution time and may be used during the transition or in the end state only after Communications applies the current approved contact details and Pharmacy confirms release.</w:t>
      </w:r>
    </w:p>
    <w:tbl>
      <w:tblPr>
        <w:tblW w:type="auto" w:w="0"/>
        <w:jc w:val="center"/>
        <w:tblLayout w:type="fixed"/>
        <w:tblLook w:firstColumn="1" w:firstRow="1" w:lastColumn="0" w:lastRow="0" w:noHBand="0" w:noVBand="1" w:val="04A0"/>
      </w:tblPr>
      <w:tblGrid>
        <w:gridCol w:w="10454"/>
      </w:tblGrid>
      <w:tr>
        <w:tc>
          <w:tcPr>
            <w:tcW w:type="dxa" w:w="10454"/>
            <w:shd w:fill="F7FBFB" w:val="clear"/>
            <w:tcMar>
              <w:top w:w="120" w:type="dxa"/>
              <w:start w:w="155" w:type="dxa"/>
              <w:bottom w:w="110" w:type="dxa"/>
              <w:end w:w="155" w:type="dxa"/>
            </w:tcMar>
            <w:tcBorders>
              <w:top w:val="single" w:sz="10" w:color="006A78"/>
              <w:bottom w:val="single" w:sz="10" w:color="006A78"/>
              <w:start w:val="single" w:sz="10" w:color="006A78"/>
              <w:end w:val="single" w:sz="10" w:color="006A78"/>
            </w:tcBorders>
          </w:tcPr>
          <w:p>
            <w:pPr>
              <w:keepNext w:val="0"/>
              <w:spacing w:before="0" w:after="60" w:line="235" w:lineRule="auto"/>
            </w:pPr>
            <w:r>
              <w:rPr>
                <w:rFonts w:ascii="DejaVu Sans" w:hAnsi="DejaVu Sans" w:eastAsia="DejaVu Sans"/>
                <w:b/>
                <w:i w:val="0"/>
                <w:color w:val="004C57"/>
                <w:sz w:val="18"/>
              </w:rPr>
              <w:t>COLLECTION UPDATE</w:t>
            </w:r>
          </w:p>
          <w:p>
            <w:pPr>
              <w:keepNext w:val="0"/>
              <w:spacing w:before="0" w:after="60" w:line="240" w:lineRule="auto"/>
            </w:pPr>
            <w:r>
              <w:rPr>
                <w:rFonts w:ascii="DejaVu Sans" w:hAnsi="DejaVu Sans" w:eastAsia="DejaVu Sans"/>
                <w:b w:val="0"/>
                <w:i w:val="0"/>
                <w:color w:val="1E2933"/>
                <w:sz w:val="17"/>
              </w:rPr>
              <w:t>Please wait for a confirmation from the pharmacy before travelling to collect.</w:t>
            </w:r>
          </w:p>
          <w:p>
            <w:pPr>
              <w:keepNext w:val="0"/>
              <w:spacing w:before="0" w:after="60" w:line="240" w:lineRule="auto"/>
            </w:pPr>
            <w:r>
              <w:rPr>
                <w:rFonts w:ascii="DejaVu Sans" w:hAnsi="DejaVu Sans" w:eastAsia="DejaVu Sans"/>
                <w:b w:val="0"/>
                <w:i w:val="0"/>
                <w:color w:val="1E2933"/>
                <w:sz w:val="17"/>
              </w:rPr>
              <w:t>If you have a question or a collection issue, contact the pharmacy through its usual contact route. The pharmacy will acknowledge your query, review what is needed, and tell you the next step. A collection update or status message does not by itself confirm that collection can take place.</w:t>
            </w:r>
          </w:p>
          <w:p>
            <w:pPr>
              <w:keepNext w:val="0"/>
              <w:spacing w:before="0" w:after="60" w:line="240" w:lineRule="auto"/>
            </w:pPr>
            <w:r>
              <w:rPr>
                <w:rFonts w:ascii="DejaVu Sans" w:hAnsi="DejaVu Sans" w:eastAsia="DejaVu Sans"/>
                <w:b w:val="0"/>
                <w:i w:val="0"/>
                <w:color w:val="1E2933"/>
                <w:sz w:val="17"/>
              </w:rPr>
              <w:t>At collection, the pharmacy will complete the checks needed for safe handover. Collection by another person is subject to pharmacy verification, authorisation, and any applicable requirements. Some medicines or circumstances may need additional collection, storage, or handover arrangements; the pharmacy will confirm these with you.</w:t>
            </w:r>
          </w:p>
          <w:p>
            <w:pPr>
              <w:keepNext w:val="0"/>
              <w:spacing w:before="0" w:after="0" w:line="240" w:lineRule="auto"/>
            </w:pPr>
            <w:r>
              <w:rPr>
                <w:rFonts w:ascii="DejaVu Sans" w:hAnsi="DejaVu Sans" w:eastAsia="DejaVu Sans"/>
                <w:b w:val="0"/>
                <w:i w:val="0"/>
                <w:color w:val="1E2933"/>
                <w:sz w:val="17"/>
              </w:rPr>
              <w:t>For urgent medication or clinical concerns, contact the pharmacy promptly or seek appropriate urgent clinical support.</w:t>
            </w:r>
          </w:p>
        </w:tc>
      </w:tr>
    </w:tbl>
    <w:p>
      <w:pPr>
        <w:keepNext/>
        <w:spacing w:before="120" w:after="40" w:line="240" w:lineRule="auto"/>
      </w:pPr>
      <w:r>
        <w:rPr>
          <w:rFonts w:ascii="DejaVu Sans" w:hAnsi="DejaVu Sans" w:eastAsia="DejaVu Sans"/>
          <w:b/>
          <w:i w:val="0"/>
          <w:color w:val="004C57"/>
          <w:sz w:val="22"/>
        </w:rPr>
        <w:t>Customer-copy controls</w:t>
      </w:r>
    </w:p>
    <w:p>
      <w:pPr>
        <w:keepNext w:val="0"/>
        <w:spacing w:before="0" w:after="20" w:line="240" w:lineRule="auto"/>
        <w:ind w:left="216" w:hanging="158"/>
      </w:pPr>
      <w:r>
        <w:rPr>
          <w:rFonts w:ascii="DejaVu Sans" w:hAnsi="DejaVu Sans" w:eastAsia="DejaVu Sans"/>
          <w:b/>
          <w:i w:val="0"/>
          <w:color w:val="006A78"/>
          <w:sz w:val="17"/>
        </w:rPr>
        <w:t xml:space="preserve">- </w:t>
      </w:r>
      <w:r>
        <w:rPr>
          <w:rFonts w:ascii="DejaVu Sans" w:hAnsi="DejaVu Sans" w:eastAsia="DejaVu Sans"/>
          <w:b w:val="0"/>
          <w:i w:val="0"/>
          <w:color w:val="1E2933"/>
          <w:sz w:val="17"/>
        </w:rPr>
        <w:t>The same-day guarantee is NOT APPROVED FOR CUSTOMER USE. It must not appear in an SMS, phone script, local adaptation, or other version of the notice.</w:t>
      </w:r>
    </w:p>
    <w:p>
      <w:pPr>
        <w:keepNext w:val="0"/>
        <w:spacing w:before="0" w:after="20" w:line="240" w:lineRule="auto"/>
        <w:ind w:left="216" w:hanging="158"/>
      </w:pPr>
      <w:r>
        <w:rPr>
          <w:rFonts w:ascii="DejaVu Sans" w:hAnsi="DejaVu Sans" w:eastAsia="DejaVu Sans"/>
          <w:b/>
          <w:i w:val="0"/>
          <w:color w:val="006A78"/>
          <w:sz w:val="17"/>
        </w:rPr>
        <w:t xml:space="preserve">- </w:t>
      </w:r>
      <w:r>
        <w:rPr>
          <w:rFonts w:ascii="DejaVu Sans" w:hAnsi="DejaVu Sans" w:eastAsia="DejaVu Sans"/>
          <w:b w:val="0"/>
          <w:i w:val="0"/>
          <w:color w:val="1E2933"/>
          <w:sz w:val="17"/>
        </w:rPr>
        <w:t>Do not add the unresolved labels "ready," "pending," or "resolved" as customer promises until controlled definitions and use conditions are approved.</w:t>
      </w:r>
    </w:p>
    <w:p>
      <w:pPr>
        <w:keepNext w:val="0"/>
        <w:spacing w:before="0" w:after="20" w:line="240" w:lineRule="auto"/>
        <w:ind w:left="216" w:hanging="158"/>
      </w:pPr>
      <w:r>
        <w:rPr>
          <w:rFonts w:ascii="DejaVu Sans" w:hAnsi="DejaVu Sans" w:eastAsia="DejaVu Sans"/>
          <w:b/>
          <w:i w:val="0"/>
          <w:color w:val="006A78"/>
          <w:sz w:val="17"/>
        </w:rPr>
        <w:t xml:space="preserve">- </w:t>
      </w:r>
      <w:r>
        <w:rPr>
          <w:rFonts w:ascii="DejaVu Sans" w:hAnsi="DejaVu Sans" w:eastAsia="DejaVu Sans"/>
          <w:b w:val="0"/>
          <w:i w:val="0"/>
          <w:color w:val="1E2933"/>
          <w:sz w:val="17"/>
        </w:rPr>
        <w:t>Keep collection-query and handover details in approved pharmacy channels or systems. Do not copy sensitive details into broad notices or executive materials.</w:t>
      </w:r>
    </w:p>
    <w:p>
      <w:pPr>
        <w:keepNext/>
        <w:spacing w:before="120" w:after="40" w:line="240" w:lineRule="auto"/>
      </w:pPr>
      <w:r>
        <w:rPr>
          <w:rFonts w:ascii="DejaVu Sans" w:hAnsi="DejaVu Sans" w:eastAsia="DejaVu Sans"/>
          <w:b/>
          <w:i w:val="0"/>
          <w:color w:val="004C57"/>
          <w:sz w:val="22"/>
        </w:rPr>
        <w:t>Minimum-safe release path</w:t>
      </w:r>
    </w:p>
    <w:p>
      <w:pPr>
        <w:keepNext w:val="0"/>
        <w:spacing w:before="0" w:after="40" w:line="250" w:lineRule="auto"/>
      </w:pPr>
      <w:r>
        <w:rPr>
          <w:rFonts w:ascii="DejaVu Sans" w:hAnsi="DejaVu Sans" w:eastAsia="DejaVu Sans"/>
          <w:b w:val="0"/>
          <w:i w:val="0"/>
          <w:color w:val="1E2933"/>
          <w:sz w:val="17"/>
        </w:rPr>
        <w:t>Because full Operations and Legal review is unavailable by the deadline, the neutral copy may proceed only through the controls below. This does not approve a service commitment that remains unverified.</w:t>
      </w:r>
    </w:p>
    <w:tbl>
      <w:tblPr>
        <w:tblW w:type="auto" w:w="0"/>
        <w:jc w:val="center"/>
        <w:tblLayout w:type="fixed"/>
        <w:tblLook w:firstColumn="1" w:firstRow="1" w:lastColumn="0" w:lastRow="0" w:noHBand="0" w:noVBand="1" w:val="04A0"/>
      </w:tblPr>
      <w:tblGrid>
        <w:gridCol w:w="3485"/>
        <w:gridCol w:w="3485"/>
        <w:gridCol w:w="3485"/>
      </w:tblGrid>
      <w:tr>
        <w:tc>
          <w:tcPr>
            <w:tcW w:type="dxa" w:w="2088"/>
            <w:shd w:fill="004C57" w:val="clear"/>
            <w:tcMar>
              <w:top w:w="55" w:type="dxa"/>
              <w:start w:w="70" w:type="dxa"/>
              <w:bottom w:w="55" w:type="dxa"/>
              <w:end w:w="70" w:type="dxa"/>
            </w:tcMar>
          </w:tcPr>
          <w:p>
            <w:pPr>
              <w:keepNext w:val="0"/>
              <w:spacing w:before="0" w:after="0" w:line="228" w:lineRule="auto"/>
            </w:pPr>
            <w:r>
              <w:rPr>
                <w:rFonts w:ascii="DejaVu Sans" w:hAnsi="DejaVu Sans" w:eastAsia="DejaVu Sans"/>
                <w:b/>
                <w:i w:val="0"/>
                <w:color w:val="FFFFFF"/>
                <w:sz w:val="14"/>
              </w:rPr>
              <w:t>When</w:t>
            </w:r>
          </w:p>
        </w:tc>
        <w:tc>
          <w:tcPr>
            <w:tcW w:type="dxa" w:w="2909"/>
            <w:shd w:fill="004C57" w:val="clear"/>
            <w:tcMar>
              <w:top w:w="55" w:type="dxa"/>
              <w:start w:w="70" w:type="dxa"/>
              <w:bottom w:w="55" w:type="dxa"/>
              <w:end w:w="70" w:type="dxa"/>
            </w:tcMar>
          </w:tcPr>
          <w:p>
            <w:pPr>
              <w:keepNext w:val="0"/>
              <w:spacing w:before="0" w:after="0" w:line="228" w:lineRule="auto"/>
            </w:pPr>
            <w:r>
              <w:rPr>
                <w:rFonts w:ascii="DejaVu Sans" w:hAnsi="DejaVu Sans" w:eastAsia="DejaVu Sans"/>
                <w:b/>
                <w:i w:val="0"/>
                <w:color w:val="FFFFFF"/>
                <w:sz w:val="14"/>
              </w:rPr>
              <w:t>Owner</w:t>
            </w:r>
          </w:p>
        </w:tc>
        <w:tc>
          <w:tcPr>
            <w:tcW w:type="dxa" w:w="5458"/>
            <w:shd w:fill="004C57" w:val="clear"/>
            <w:tcMar>
              <w:top w:w="55" w:type="dxa"/>
              <w:start w:w="70" w:type="dxa"/>
              <w:bottom w:w="55" w:type="dxa"/>
              <w:end w:w="70" w:type="dxa"/>
            </w:tcMar>
          </w:tcPr>
          <w:p>
            <w:pPr>
              <w:keepNext w:val="0"/>
              <w:spacing w:before="0" w:after="0" w:line="228" w:lineRule="auto"/>
            </w:pPr>
            <w:r>
              <w:rPr>
                <w:rFonts w:ascii="DejaVu Sans" w:hAnsi="DejaVu Sans" w:eastAsia="DejaVu Sans"/>
                <w:b/>
                <w:i w:val="0"/>
                <w:color w:val="FFFFFF"/>
                <w:sz w:val="14"/>
              </w:rPr>
              <w:t>Action / release condition</w:t>
            </w:r>
          </w:p>
        </w:tc>
      </w:tr>
      <w:tr>
        <w:tc>
          <w:tcPr>
            <w:tcW w:type="dxa" w:w="3485"/>
            <w:tcMar>
              <w:top w:w="58" w:type="dxa"/>
              <w:start w:w="70" w:type="dxa"/>
              <w:bottom w:w="58" w:type="dxa"/>
              <w:end w:w="70"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i w:val="0"/>
                <w:color w:val="1E2933"/>
                <w:sz w:val="14"/>
              </w:rPr>
              <w:t>By pack close</w:t>
            </w:r>
          </w:p>
        </w:tc>
        <w:tc>
          <w:tcPr>
            <w:tcW w:type="dxa" w:w="3485"/>
            <w:tcMar>
              <w:top w:w="58" w:type="dxa"/>
              <w:start w:w="70" w:type="dxa"/>
              <w:bottom w:w="58" w:type="dxa"/>
              <w:end w:w="70"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i w:val="0"/>
                <w:color w:val="1E2933"/>
                <w:sz w:val="14"/>
              </w:rPr>
              <w:t>Executive sponsor</w:t>
            </w:r>
          </w:p>
        </w:tc>
        <w:tc>
          <w:tcPr>
            <w:tcW w:type="dxa" w:w="3485"/>
            <w:tcMar>
              <w:top w:w="58" w:type="dxa"/>
              <w:start w:w="70" w:type="dxa"/>
              <w:bottom w:w="58" w:type="dxa"/>
              <w:end w:w="70"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val="0"/>
                <w:i w:val="0"/>
                <w:color w:val="1E2933"/>
                <w:sz w:val="14"/>
              </w:rPr>
              <w:t>Record one decision: reject the guarantee and authorise the minimum-safe fallback only. The proposed copy remains conditional, not a final notice.</w:t>
            </w:r>
          </w:p>
        </w:tc>
      </w:tr>
      <w:tr>
        <w:tc>
          <w:tcPr>
            <w:tcW w:type="dxa" w:w="3485"/>
            <w:tcMar>
              <w:top w:w="58" w:type="dxa"/>
              <w:start w:w="70" w:type="dxa"/>
              <w:bottom w:w="58" w:type="dxa"/>
              <w:end w:w="70"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i w:val="0"/>
                <w:color w:val="1E2933"/>
                <w:sz w:val="14"/>
              </w:rPr>
              <w:t>Before any use</w:t>
            </w:r>
          </w:p>
        </w:tc>
        <w:tc>
          <w:tcPr>
            <w:tcW w:type="dxa" w:w="3485"/>
            <w:tcMar>
              <w:top w:w="58" w:type="dxa"/>
              <w:start w:w="70" w:type="dxa"/>
              <w:bottom w:w="58" w:type="dxa"/>
              <w:end w:w="70"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i w:val="0"/>
                <w:color w:val="1E2933"/>
                <w:sz w:val="14"/>
              </w:rPr>
              <w:t>Communications + Pharmacy</w:t>
            </w:r>
          </w:p>
        </w:tc>
        <w:tc>
          <w:tcPr>
            <w:tcW w:type="dxa" w:w="3485"/>
            <w:tcMar>
              <w:top w:w="58" w:type="dxa"/>
              <w:start w:w="70" w:type="dxa"/>
              <w:bottom w:w="58" w:type="dxa"/>
              <w:end w:w="70"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val="0"/>
                <w:i w:val="0"/>
                <w:color w:val="1E2933"/>
                <w:sz w:val="14"/>
              </w:rPr>
              <w:t>Lock the exact wording, current approved contact route, release version, and pharmacy safety sign-off. Do not add a fixed response, resolution, readiness, or performance promise in a local adaptation.</w:t>
            </w:r>
          </w:p>
        </w:tc>
      </w:tr>
      <w:tr>
        <w:tc>
          <w:tcPr>
            <w:tcW w:type="dxa" w:w="3485"/>
            <w:tcMar>
              <w:top w:w="58" w:type="dxa"/>
              <w:start w:w="70" w:type="dxa"/>
              <w:bottom w:w="58" w:type="dxa"/>
              <w:end w:w="70"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i w:val="0"/>
                <w:color w:val="1E2933"/>
                <w:sz w:val="14"/>
              </w:rPr>
              <w:t>Deferred before any future performance claim</w:t>
            </w:r>
          </w:p>
        </w:tc>
        <w:tc>
          <w:tcPr>
            <w:tcW w:type="dxa" w:w="3485"/>
            <w:tcMar>
              <w:top w:w="58" w:type="dxa"/>
              <w:start w:w="70" w:type="dxa"/>
              <w:bottom w:w="58" w:type="dxa"/>
              <w:end w:w="70"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i w:val="0"/>
                <w:color w:val="1E2933"/>
                <w:sz w:val="14"/>
              </w:rPr>
              <w:t>Operations + Legal / contract owner</w:t>
            </w:r>
          </w:p>
        </w:tc>
        <w:tc>
          <w:tcPr>
            <w:tcW w:type="dxa" w:w="3485"/>
            <w:tcMar>
              <w:top w:w="58" w:type="dxa"/>
              <w:start w:w="70" w:type="dxa"/>
              <w:bottom w:w="58" w:type="dxa"/>
              <w:end w:w="70"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val="0"/>
                <w:i w:val="0"/>
                <w:color w:val="1E2933"/>
                <w:sz w:val="14"/>
              </w:rPr>
              <w:t>Operations validates feasible service design and evidence; Legal/contract owner determines interpretation, enforceability, authority, and final legal wording. Neither review is assumed complete by the deadline.</w:t>
            </w:r>
          </w:p>
        </w:tc>
      </w:tr>
    </w:tbl>
    <w:p>
      <w:r>
        <w:br w:type="page"/>
      </w:r>
    </w:p>
    <w:p>
      <w:pPr>
        <w:keepNext/>
        <w:spacing w:before="0" w:after="20" w:line="240" w:lineRule="auto"/>
      </w:pPr>
      <w:r>
        <w:rPr>
          <w:rFonts w:ascii="DejaVu Sans" w:hAnsi="DejaVu Sans" w:eastAsia="DejaVu Sans"/>
          <w:b/>
          <w:i w:val="0"/>
          <w:color w:val="006A78"/>
          <w:sz w:val="15"/>
        </w:rPr>
        <w:t>CONTROLLED IMPLEMENTATION</w:t>
      </w:r>
    </w:p>
    <w:p>
      <w:pPr>
        <w:keepNext/>
        <w:spacing w:before="0" w:after="60" w:line="235" w:lineRule="auto"/>
      </w:pPr>
      <w:r>
        <w:rPr>
          <w:rFonts w:ascii="DejaVu Sans" w:hAnsi="DejaVu Sans" w:eastAsia="DejaVu Sans"/>
          <w:b/>
          <w:i w:val="0"/>
          <w:color w:val="004C57"/>
          <w:sz w:val="28"/>
        </w:rPr>
        <w:t>Transition and end-state controls</w:t>
      </w:r>
    </w:p>
    <w:p>
      <w:pPr>
        <w:keepNext w:val="0"/>
        <w:spacing w:before="0" w:after="60" w:line="250" w:lineRule="auto"/>
      </w:pPr>
      <w:r>
        <w:rPr>
          <w:rFonts w:ascii="DejaVu Sans" w:hAnsi="DejaVu Sans" w:eastAsia="DejaVu Sans"/>
          <w:b w:val="0"/>
          <w:i w:val="0"/>
          <w:color w:val="1E2933"/>
          <w:sz w:val="17"/>
        </w:rPr>
        <w:t>The six-week transition requires an interim control that is accurate now and leads cleanly to the centralised model. It must not portray the future-state service as already universal.</w:t>
      </w:r>
    </w:p>
    <w:tbl>
      <w:tblPr>
        <w:tblW w:type="auto" w:w="0"/>
        <w:jc w:val="center"/>
        <w:tblLayout w:type="fixed"/>
        <w:tblLook w:firstColumn="1" w:firstRow="1" w:lastColumn="0" w:lastRow="0" w:noHBand="0" w:noVBand="1" w:val="04A0"/>
      </w:tblPr>
      <w:tblGrid>
        <w:gridCol w:w="5227"/>
        <w:gridCol w:w="5227"/>
      </w:tblGrid>
      <w:tr>
        <w:tc>
          <w:tcPr>
            <w:tcW w:type="dxa" w:w="5227"/>
            <w:shd w:fill="004C57" w:val="clear"/>
            <w:tcMar>
              <w:top w:w="60" w:type="dxa"/>
              <w:start w:w="85" w:type="dxa"/>
              <w:bottom w:w="60" w:type="dxa"/>
              <w:end w:w="85" w:type="dxa"/>
            </w:tcMar>
          </w:tcPr>
          <w:p>
            <w:pPr>
              <w:keepNext w:val="0"/>
              <w:spacing w:before="0" w:after="0" w:line="228" w:lineRule="auto"/>
            </w:pPr>
            <w:r>
              <w:rPr>
                <w:rFonts w:ascii="DejaVu Sans" w:hAnsi="DejaVu Sans" w:eastAsia="DejaVu Sans"/>
                <w:b/>
                <w:i w:val="0"/>
                <w:color w:val="FFFFFF"/>
                <w:sz w:val="15"/>
              </w:rPr>
              <w:t>Transition period: mixed local processes</w:t>
            </w:r>
          </w:p>
        </w:tc>
        <w:tc>
          <w:tcPr>
            <w:tcW w:type="dxa" w:w="5227"/>
            <w:shd w:fill="004C57" w:val="clear"/>
            <w:tcMar>
              <w:top w:w="60" w:type="dxa"/>
              <w:start w:w="85" w:type="dxa"/>
              <w:bottom w:w="60" w:type="dxa"/>
              <w:end w:w="85" w:type="dxa"/>
            </w:tcMar>
          </w:tcPr>
          <w:p>
            <w:pPr>
              <w:keepNext w:val="0"/>
              <w:spacing w:before="0" w:after="0" w:line="228" w:lineRule="auto"/>
            </w:pPr>
            <w:r>
              <w:rPr>
                <w:rFonts w:ascii="DejaVu Sans" w:hAnsi="DejaVu Sans" w:eastAsia="DejaVu Sans"/>
                <w:b/>
                <w:i w:val="0"/>
                <w:color w:val="FFFFFF"/>
                <w:sz w:val="15"/>
              </w:rPr>
              <w:t>Centralised end state</w:t>
            </w:r>
          </w:p>
        </w:tc>
      </w:tr>
      <w:tr>
        <w:tc>
          <w:tcPr>
            <w:tcW w:type="dxa" w:w="5227"/>
            <w:tcMar>
              <w:top w:w="75" w:type="dxa"/>
              <w:start w:w="95" w:type="dxa"/>
              <w:bottom w:w="70" w:type="dxa"/>
              <w:end w:w="95" w:type="dxa"/>
            </w:tcMar>
            <w:vAlign w:val="top"/>
            <w:tcBorders>
              <w:top w:val="single" w:sz="4" w:color="C9D4D8"/>
              <w:bottom w:val="single" w:sz="4" w:color="C9D4D8"/>
              <w:start w:val="single" w:sz="4" w:color="C9D4D8"/>
              <w:end w:val="single" w:sz="4" w:color="C9D4D8"/>
            </w:tcBorders>
          </w:tcPr>
          <w:p>
            <w:pPr>
              <w:keepNext w:val="0"/>
              <w:spacing w:before="0" w:after="20" w:line="235" w:lineRule="auto"/>
            </w:pPr>
            <w:r>
              <w:rPr>
                <w:rFonts w:ascii="DejaVu Sans" w:hAnsi="DejaVu Sans" w:eastAsia="DejaVu Sans"/>
                <w:b w:val="0"/>
                <w:i w:val="0"/>
                <w:color w:val="1E2933"/>
                <w:sz w:val="15"/>
              </w:rPr>
              <w:t>Use the approved channel-neutral copy with each location's current approved route. Do not say that central SMS or standard labels are universal. Before treating an update as readiness, the pharmacy verifies current collection conditions and has a local escalation route.</w:t>
            </w:r>
          </w:p>
        </w:tc>
        <w:tc>
          <w:tcPr>
            <w:tcW w:type="dxa" w:w="5227"/>
            <w:tcMar>
              <w:top w:w="75" w:type="dxa"/>
              <w:start w:w="95" w:type="dxa"/>
              <w:bottom w:w="70" w:type="dxa"/>
              <w:end w:w="95" w:type="dxa"/>
            </w:tcMar>
            <w:vAlign w:val="top"/>
            <w:tcBorders>
              <w:top w:val="single" w:sz="4" w:color="C9D4D8"/>
              <w:bottom w:val="single" w:sz="4" w:color="C9D4D8"/>
              <w:start w:val="single" w:sz="4" w:color="C9D4D8"/>
              <w:end w:val="single" w:sz="4" w:color="C9D4D8"/>
            </w:tcBorders>
          </w:tcPr>
          <w:p>
            <w:pPr>
              <w:keepNext w:val="0"/>
              <w:spacing w:before="0" w:after="20" w:line="235" w:lineRule="auto"/>
            </w:pPr>
            <w:r>
              <w:rPr>
                <w:rFonts w:ascii="DejaVu Sans" w:hAnsi="DejaVu Sans" w:eastAsia="DejaVu Sans"/>
                <w:b w:val="0"/>
                <w:i w:val="0"/>
                <w:color w:val="1E2933"/>
                <w:sz w:val="15"/>
              </w:rPr>
              <w:t>Use one centrally controlled SMS template and one governed set of status definitions. Communications and Pharmacy maintain version and change control; Operations owns performance validation; Legal/contract owner approves any contract, service, or legal claim.</w:t>
            </w:r>
          </w:p>
        </w:tc>
      </w:tr>
    </w:tbl>
    <w:p>
      <w:pPr>
        <w:keepNext/>
        <w:spacing w:before="120" w:after="40" w:line="240" w:lineRule="auto"/>
      </w:pPr>
      <w:r>
        <w:rPr>
          <w:rFonts w:ascii="DejaVu Sans" w:hAnsi="DejaVu Sans" w:eastAsia="DejaVu Sans"/>
          <w:b/>
          <w:i w:val="0"/>
          <w:color w:val="004C57"/>
          <w:sz w:val="22"/>
        </w:rPr>
        <w:t>Deferred validation and accountable ownership</w:t>
      </w:r>
    </w:p>
    <w:p>
      <w:pPr>
        <w:keepNext w:val="0"/>
        <w:spacing w:before="0" w:after="40" w:line="250" w:lineRule="auto"/>
      </w:pPr>
      <w:r>
        <w:rPr>
          <w:rFonts w:ascii="DejaVu Sans" w:hAnsi="DejaVu Sans" w:eastAsia="DejaVu Sans"/>
          <w:b w:val="0"/>
          <w:i w:val="0"/>
          <w:color w:val="1E2933"/>
          <w:sz w:val="17"/>
        </w:rPr>
        <w:t>These questions remain open and are visibly held outside the approved customer copy. They are not silently answered by this assessment.</w:t>
      </w:r>
    </w:p>
    <w:tbl>
      <w:tblPr>
        <w:tblW w:type="auto" w:w="0"/>
        <w:jc w:val="center"/>
        <w:tblLayout w:type="fixed"/>
        <w:tblLook w:firstColumn="1" w:firstRow="1" w:lastColumn="0" w:lastRow="0" w:noHBand="0" w:noVBand="1" w:val="04A0"/>
      </w:tblPr>
      <w:tblGrid>
        <w:gridCol w:w="5227"/>
        <w:gridCol w:w="5227"/>
      </w:tblGrid>
      <w:tr>
        <w:tc>
          <w:tcPr>
            <w:tcW w:type="dxa" w:w="2520"/>
            <w:shd w:fill="F3F5F6" w:val="clear"/>
            <w:tcMar>
              <w:top w:w="55" w:type="dxa"/>
              <w:start w:w="75" w:type="dxa"/>
              <w:bottom w:w="55" w:type="dxa"/>
              <w:end w:w="75" w:type="dxa"/>
            </w:tcMar>
          </w:tcPr>
          <w:p>
            <w:pPr>
              <w:keepNext w:val="0"/>
              <w:spacing w:before="0" w:after="0" w:line="228" w:lineRule="auto"/>
            </w:pPr>
            <w:r>
              <w:rPr>
                <w:rFonts w:ascii="DejaVu Sans" w:hAnsi="DejaVu Sans" w:eastAsia="DejaVu Sans"/>
                <w:b/>
                <w:i w:val="0"/>
                <w:color w:val="004C57"/>
                <w:sz w:val="14"/>
              </w:rPr>
              <w:t>Deferred owner</w:t>
            </w:r>
          </w:p>
        </w:tc>
        <w:tc>
          <w:tcPr>
            <w:tcW w:type="dxa" w:w="7934"/>
            <w:shd w:fill="F3F5F6" w:val="clear"/>
            <w:tcMar>
              <w:top w:w="55" w:type="dxa"/>
              <w:start w:w="75" w:type="dxa"/>
              <w:bottom w:w="55" w:type="dxa"/>
              <w:end w:w="75" w:type="dxa"/>
            </w:tcMar>
          </w:tcPr>
          <w:p>
            <w:pPr>
              <w:keepNext w:val="0"/>
              <w:spacing w:before="0" w:after="0" w:line="228" w:lineRule="auto"/>
            </w:pPr>
            <w:r>
              <w:rPr>
                <w:rFonts w:ascii="DejaVu Sans" w:hAnsi="DejaVu Sans" w:eastAsia="DejaVu Sans"/>
                <w:b/>
                <w:i w:val="0"/>
                <w:color w:val="004C57"/>
                <w:sz w:val="14"/>
              </w:rPr>
              <w:t>Validation still required</w:t>
            </w:r>
          </w:p>
        </w:tc>
      </w:tr>
      <w:tr>
        <w:tc>
          <w:tcPr>
            <w:tcW w:type="dxa" w:w="5227"/>
            <w:tcMar>
              <w:top w:w="55" w:type="dxa"/>
              <w:start w:w="75" w:type="dxa"/>
              <w:bottom w:w="55" w:type="dxa"/>
              <w:end w:w="75"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i w:val="0"/>
                <w:color w:val="1E2933"/>
                <w:sz w:val="14"/>
              </w:rPr>
              <w:t>Operations</w:t>
            </w:r>
          </w:p>
        </w:tc>
        <w:tc>
          <w:tcPr>
            <w:tcW w:type="dxa" w:w="5227"/>
            <w:tcMar>
              <w:top w:w="55" w:type="dxa"/>
              <w:start w:w="75" w:type="dxa"/>
              <w:bottom w:w="55" w:type="dxa"/>
              <w:end w:w="75"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val="0"/>
                <w:i w:val="0"/>
                <w:color w:val="1E2933"/>
                <w:sz w:val="14"/>
              </w:rPr>
              <w:t>Reconcile affected log records and duplicates; approve controlled meanings for readiness, query acknowledgement, triage/investigation, and resolution; validate whether any customer commitment can be performed.</w:t>
            </w:r>
          </w:p>
        </w:tc>
      </w:tr>
      <w:tr>
        <w:tc>
          <w:tcPr>
            <w:tcW w:type="dxa" w:w="5227"/>
            <w:tcMar>
              <w:top w:w="55" w:type="dxa"/>
              <w:start w:w="75" w:type="dxa"/>
              <w:bottom w:w="55" w:type="dxa"/>
              <w:end w:w="75"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i w:val="0"/>
                <w:color w:val="1E2933"/>
                <w:sz w:val="14"/>
              </w:rPr>
              <w:t>Legal / contract owner</w:t>
            </w:r>
          </w:p>
        </w:tc>
        <w:tc>
          <w:tcPr>
            <w:tcW w:type="dxa" w:w="5227"/>
            <w:tcMar>
              <w:top w:w="55" w:type="dxa"/>
              <w:start w:w="75" w:type="dxa"/>
              <w:bottom w:w="55" w:type="dxa"/>
              <w:end w:w="75"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val="0"/>
                <w:i w:val="0"/>
                <w:color w:val="1E2933"/>
                <w:sz w:val="14"/>
              </w:rPr>
              <w:t>Interpret contract terms, enforceability, authority for customer commitments, and final legal wording. This assessment does not answer those questions.</w:t>
            </w:r>
          </w:p>
        </w:tc>
      </w:tr>
      <w:tr>
        <w:tc>
          <w:tcPr>
            <w:tcW w:type="dxa" w:w="5227"/>
            <w:tcMar>
              <w:top w:w="55" w:type="dxa"/>
              <w:start w:w="75" w:type="dxa"/>
              <w:bottom w:w="55" w:type="dxa"/>
              <w:end w:w="75"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i w:val="0"/>
                <w:color w:val="1E2933"/>
                <w:sz w:val="14"/>
              </w:rPr>
              <w:t>Communications + Pharmacy governance</w:t>
            </w:r>
          </w:p>
        </w:tc>
        <w:tc>
          <w:tcPr>
            <w:tcW w:type="dxa" w:w="5227"/>
            <w:tcMar>
              <w:top w:w="55" w:type="dxa"/>
              <w:start w:w="75" w:type="dxa"/>
              <w:bottom w:w="55" w:type="dxa"/>
              <w:end w:w="75" w:type="dxa"/>
            </w:tcMar>
            <w:vAlign w:val="top"/>
            <w:tcBorders>
              <w:top w:val="single" w:sz="4" w:color="C9D4D8"/>
              <w:bottom w:val="single" w:sz="4" w:color="C9D4D8"/>
              <w:start w:val="single" w:sz="4" w:color="C9D4D8"/>
              <w:end w:val="single" w:sz="4" w:color="C9D4D8"/>
            </w:tcBorders>
          </w:tcPr>
          <w:p>
            <w:pPr>
              <w:keepNext w:val="0"/>
              <w:spacing w:before="0" w:after="0" w:line="230" w:lineRule="auto"/>
            </w:pPr>
            <w:r>
              <w:rPr>
                <w:rFonts w:ascii="DejaVu Sans" w:hAnsi="DejaVu Sans" w:eastAsia="DejaVu Sans"/>
                <w:b w:val="0"/>
                <w:i w:val="0"/>
                <w:color w:val="1E2933"/>
                <w:sz w:val="14"/>
              </w:rPr>
              <w:t>Maintain approved wording, contact-route fit, privacy-minimised content, and pharmacy safety review. Keep sensitive collection details in approved pharmacy channels or systems, not broad notices or executive material.</w:t>
            </w:r>
          </w:p>
        </w:tc>
      </w:tr>
    </w:tbl>
    <w:p>
      <w:pPr>
        <w:keepNext/>
        <w:spacing w:before="120" w:after="40" w:line="240" w:lineRule="auto"/>
      </w:pPr>
      <w:r>
        <w:rPr>
          <w:rFonts w:ascii="DejaVu Sans" w:hAnsi="DejaVu Sans" w:eastAsia="DejaVu Sans"/>
          <w:b/>
          <w:i w:val="0"/>
          <w:color w:val="004C57"/>
          <w:sz w:val="22"/>
        </w:rPr>
        <w:t>Executive decision record</w:t>
      </w:r>
    </w:p>
    <w:tbl>
      <w:tblPr>
        <w:tblW w:type="auto" w:w="0"/>
        <w:tblLayout w:type="fixed"/>
        <w:tblLook w:firstColumn="1" w:firstRow="1" w:lastColumn="0" w:lastRow="0" w:noHBand="0" w:noVBand="1" w:val="04A0"/>
      </w:tblPr>
      <w:tblGrid>
        <w:gridCol w:w="10454"/>
      </w:tblGrid>
      <w:tr>
        <w:tc>
          <w:tcPr>
            <w:tcW w:type="dxa" w:w="10454"/>
            <w:shd w:fill="E7F3F4" w:val="clear"/>
            <w:tcMar>
              <w:top w:w="80" w:type="dxa"/>
              <w:start w:w="110" w:type="dxa"/>
              <w:bottom w:w="80" w:type="dxa"/>
              <w:end w:w="110" w:type="dxa"/>
            </w:tcMar>
            <w:tcBorders>
              <w:top w:val="single" w:sz="8" w:color="006A78"/>
              <w:bottom w:val="single" w:sz="8" w:color="006A78"/>
              <w:start w:val="single" w:sz="8" w:color="006A78"/>
              <w:end w:val="single" w:sz="8" w:color="006A78"/>
            </w:tcBorders>
          </w:tcPr>
          <w:p>
            <w:pPr>
              <w:keepNext w:val="0"/>
              <w:spacing w:before="0" w:after="0" w:line="235" w:lineRule="auto"/>
            </w:pPr>
            <w:r>
              <w:rPr>
                <w:rFonts w:ascii="DejaVu Sans" w:hAnsi="DejaVu Sans" w:eastAsia="DejaVu Sans"/>
                <w:b/>
                <w:i w:val="0"/>
                <w:color w:val="004C57"/>
                <w:sz w:val="16"/>
              </w:rPr>
              <w:t xml:space="preserve">DECISION RECORD: </w:t>
            </w:r>
            <w:r>
              <w:rPr>
                <w:rFonts w:ascii="DejaVu Sans" w:hAnsi="DejaVu Sans" w:eastAsia="DejaVu Sans"/>
                <w:b w:val="0"/>
                <w:i w:val="0"/>
                <w:color w:val="1E2933"/>
                <w:sz w:val="16"/>
              </w:rPr>
              <w:t>Approve only the controlled neutral wording. Hold the same-day guarantee, any rate or outcome claim, and any assertion of universal central SMS or labels. This minimum-safe decision allows a safe notice to proceed without representing Operations or Legal review as complete.</w:t>
            </w:r>
          </w:p>
        </w:tc>
      </w:tr>
    </w:tbl>
    <w:sectPr w:rsidR="00FC693F" w:rsidRPr="0006063C" w:rsidSect="00034616">
      <w:headerReference w:type="default" r:id="rId9"/>
      <w:footerReference w:type="default" r:id="rId10"/>
      <w:pgSz w:w="12240" w:h="15840"/>
      <w:pgMar w:top="619" w:right="893" w:bottom="619" w:left="893"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DejaVu Sans" w:hAnsi="DejaVu Sans" w:eastAsia="DejaVu Sans"/>
        <w:b w:val="0"/>
        <w:i w:val="0"/>
        <w:color w:val="5A6872"/>
        <w:sz w:val="13"/>
      </w:rPr>
      <w:t xml:space="preserve">Internal executive review pack | Draft assessment | 18 September 2026 | Page </w:t>
    </w:r>
    <w:r>
      <w:rPr>
        <w:rFonts w:ascii="DejaVu Sans" w:hAnsi="DejaVu Sans" w:eastAsia="DejaVu Sans"/>
        <w:b w:val="0"/>
        <w:i w:val="0"/>
        <w:color w:val="5A6872"/>
        <w:sz w:val="1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DejaVu Sans" w:hAnsi="DejaVu Sans" w:eastAsia="DejaVu Sans"/>
        <w:b/>
        <w:i w:val="0"/>
        <w:color w:val="004C57"/>
        <w:sz w:val="15"/>
      </w:rPr>
      <w:t>IRONVALE ALLIANCE</w:t>
    </w:r>
    <w:r>
      <w:rPr>
        <w:rFonts w:ascii="DejaVu Sans" w:hAnsi="DejaVu Sans" w:eastAsia="DejaVu Sans"/>
        <w:b/>
        <w:i w:val="0"/>
        <w:color w:val="5A6872"/>
        <w:sz w:val="15"/>
      </w:rPr>
      <w:t xml:space="preserve">  |  PHARMACY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0" w:lineRule="auto"/>
    </w:pPr>
    <w:rPr>
      <w:rFonts w:ascii="DejaVu Sans" w:hAnsi="DejaVu Sans" w:eastAsia="DejaVu Sans"/>
      <w:color w:val="1E2933"/>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Medication-Collection Notice Compliance Assessment</dc:title>
  <dc:subject>Executive compliance assessment and proposed customer wording</dc:subject>
  <dc:creator>Ironvale Alliance Pharmacy Governance</dc:creator>
  <cp:keywords>pharmacy, compliance, customer communication, collection notice</cp:keywords>
  <dc:description>Draft assessment for executive decision; proposed copy requires controlled approval.</dc:description>
  <cp:lastModifiedBy/>
  <cp:revision>1</cp:revision>
  <dcterms:created xsi:type="dcterms:W3CDTF">2013-12-23T23:15:00Z</dcterms:created>
  <dcterms:modified xsi:type="dcterms:W3CDTF">2013-12-23T23:15:00Z</dcterms:modified>
  <cp:category/>
</cp:coreProperties>
</file>