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DECISION MEMORANDUM</w:t>
      </w:r>
    </w:p>
    <w:p>
      <w:pPr>
        <w:jc w:val="center"/>
      </w:pPr>
      <w:r>
        <w:rPr>
          <w:b/>
          <w:sz w:val="22"/>
        </w:rPr>
        <w:t>Sablefield Tire &amp; Auto | Target-state systems design</w:t>
      </w:r>
    </w:p>
    <w:tbl>
      <w:tblPr>
        <w:tblW w:type="auto" w:w="0"/>
        <w:jc w:val="center"/>
        <w:tblLayout w:type="fixed"/>
        <w:tblLook w:firstColumn="1" w:firstRow="1" w:lastColumn="0" w:lastRow="0" w:noHBand="0" w:noVBand="1" w:val="04A0"/>
      </w:tblPr>
      <w:tblGrid>
        <w:gridCol w:w="5256"/>
        <w:gridCol w:w="5256"/>
      </w:tblGrid>
      <w:tr>
        <w:tc>
          <w:tcPr>
            <w:tcW w:type="dxa" w:w="1872"/>
            <w:vAlign w:val="center"/>
            <w:shd w:fill="D9EAF7"/>
          </w:tcPr>
          <w:p>
            <w:r/>
            <w:r>
              <w:rPr>
                <w:b/>
                <w:color w:val="1F4E79"/>
                <w:sz w:val="16"/>
              </w:rPr>
              <w:t>To</w:t>
            </w:r>
          </w:p>
        </w:tc>
        <w:tc>
          <w:tcPr>
            <w:tcW w:type="dxa" w:w="8352"/>
            <w:vAlign w:val="center"/>
          </w:tcPr>
          <w:p>
            <w:r/>
            <w:r>
              <w:rPr>
                <w:b w:val="0"/>
                <w:sz w:val="16"/>
              </w:rPr>
              <w:t>Lachlan Zamora, VP of Operations</w:t>
            </w:r>
          </w:p>
        </w:tc>
      </w:tr>
      <w:tr>
        <w:tc>
          <w:tcPr>
            <w:tcW w:type="dxa" w:w="1872"/>
            <w:vAlign w:val="center"/>
            <w:shd w:fill="D9EAF7"/>
          </w:tcPr>
          <w:p>
            <w:r/>
            <w:r>
              <w:rPr>
                <w:b/>
                <w:color w:val="1F4E79"/>
                <w:sz w:val="16"/>
              </w:rPr>
              <w:t>From</w:t>
            </w:r>
          </w:p>
        </w:tc>
        <w:tc>
          <w:tcPr>
            <w:tcW w:type="dxa" w:w="8352"/>
            <w:vAlign w:val="center"/>
          </w:tcPr>
          <w:p>
            <w:r/>
            <w:r>
              <w:rPr>
                <w:b w:val="0"/>
                <w:sz w:val="16"/>
              </w:rPr>
              <w:t>General &amp; Operations Manager</w:t>
            </w:r>
          </w:p>
        </w:tc>
      </w:tr>
      <w:tr>
        <w:tc>
          <w:tcPr>
            <w:tcW w:type="dxa" w:w="1872"/>
            <w:vAlign w:val="center"/>
            <w:shd w:fill="D9EAF7"/>
          </w:tcPr>
          <w:p>
            <w:r/>
            <w:r>
              <w:rPr>
                <w:b/>
                <w:color w:val="1F4E79"/>
                <w:sz w:val="16"/>
              </w:rPr>
              <w:t>Decision</w:t>
            </w:r>
          </w:p>
        </w:tc>
        <w:tc>
          <w:tcPr>
            <w:tcW w:type="dxa" w:w="8352"/>
            <w:vAlign w:val="center"/>
          </w:tcPr>
          <w:p>
            <w:r/>
            <w:r>
              <w:rPr>
                <w:b w:val="0"/>
                <w:sz w:val="16"/>
              </w:rPr>
              <w:t>Authorize the target design for integrator scoping and finance review</w:t>
            </w:r>
          </w:p>
        </w:tc>
      </w:tr>
      <w:tr>
        <w:tc>
          <w:tcPr>
            <w:tcW w:type="dxa" w:w="1872"/>
            <w:vAlign w:val="center"/>
            <w:shd w:fill="D9EAF7"/>
          </w:tcPr>
          <w:p>
            <w:r/>
            <w:r>
              <w:rPr>
                <w:b/>
                <w:color w:val="1F4E79"/>
                <w:sz w:val="16"/>
              </w:rPr>
              <w:t>Trigger</w:t>
            </w:r>
          </w:p>
        </w:tc>
        <w:tc>
          <w:tcPr>
            <w:tcW w:type="dxa" w:w="8352"/>
            <w:vAlign w:val="center"/>
          </w:tcPr>
          <w:p>
            <w:r/>
            <w:r>
              <w:rPr>
                <w:b w:val="0"/>
                <w:sz w:val="16"/>
              </w:rPr>
              <w:t>Peoria Windows Server 2012 R2 leaves support in November</w:t>
            </w:r>
          </w:p>
        </w:tc>
      </w:tr>
    </w:tbl>
    <w:p/>
    <w:p>
      <w:pPr>
        <w:spacing w:before="100" w:after="40"/>
      </w:pPr>
      <w:r>
        <w:rPr>
          <w:b/>
          <w:color w:val="1F4E79"/>
          <w:sz w:val="22"/>
        </w:rPr>
        <w:t>Executive summary</w:t>
      </w:r>
    </w:p>
    <w:p>
      <w:r>
        <w:t>Approve one target state: Managed Operations Hub with Peoria Edge Relay. A hosted booking and parts-lookup service serves all seven centers; a small managed edge VM remains in Peoria solely for the Longbarrow Components legacy price-feed connector and a synchronized parts-price cache. Card terminals use a separate payment VLAN/processor path and never join the shop-floor network. The planning recurring estimate is $4,100/month, $400 below the $4,500 ceiling. This is an operations design decision, not evidence of bank, security, processor, or integrator approval.</w:t>
      </w:r>
    </w:p>
    <w:p>
      <w:pPr>
        <w:spacing w:before="100" w:after="40"/>
      </w:pPr>
      <w:r>
        <w:rPr>
          <w:b/>
          <w:color w:val="1F4E79"/>
          <w:sz w:val="22"/>
        </w:rPr>
        <w:t>Current-state constraints (known facts)</w:t>
      </w:r>
    </w:p>
    <w:p>
      <w:r>
        <w:t>• Seven service centers depend on a Peoria back-office Windows Server 2012 R2 machine for booking, parts lookup, and the Longbarrow Components distributor feed.</w:t>
        <w:br/>
        <w:t>• The server reaches end of support in November.</w:t>
        <w:br/>
        <w:t>• Counter staff need fast parts answers; the distributor feed still communicates only with the legacy server.</w:t>
        <w:br/>
        <w:t>• Card terminals must remain separate from the shop-floor network. Windermere Council fleet bookings and payment records must continue consistently across centers.</w:t>
      </w:r>
    </w:p>
    <w:p>
      <w:pPr>
        <w:spacing w:before="100" w:after="40"/>
      </w:pPr>
      <w:r>
        <w:rPr>
          <w:b/>
          <w:color w:val="1F4E79"/>
          <w:sz w:val="22"/>
        </w:rPr>
        <w:t>Target-state design — one committed configuration</w:t>
      </w:r>
    </w:p>
    <w:p>
      <w:r>
        <w:t>The Managed Operations Hub with Peoria Edge Relay has four layers: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1F4E79"/>
          </w:tcPr>
          <w:p>
            <w:r/>
            <w:r>
              <w:rPr>
                <w:b/>
                <w:color w:val="FFFFFF"/>
                <w:sz w:val="16"/>
              </w:rPr>
              <w:t>Layer / placement</w:t>
            </w:r>
          </w:p>
        </w:tc>
        <w:tc>
          <w:tcPr>
            <w:tcW w:type="dxa" w:w="3504"/>
            <w:vAlign w:val="center"/>
            <w:shd w:fill="1F4E79"/>
          </w:tcPr>
          <w:p>
            <w:r/>
            <w:r>
              <w:rPr>
                <w:b/>
                <w:color w:val="FFFFFF"/>
                <w:sz w:val="16"/>
              </w:rPr>
              <w:t>Decision treatment</w:t>
            </w:r>
          </w:p>
        </w:tc>
        <w:tc>
          <w:tcPr>
            <w:tcW w:type="dxa" w:w="3504"/>
            <w:vAlign w:val="center"/>
            <w:shd w:fill="1F4E79"/>
          </w:tcPr>
          <w:p>
            <w:r/>
            <w:r>
              <w:rPr>
                <w:b/>
                <w:color w:val="FFFFFF"/>
                <w:sz w:val="16"/>
              </w:rPr>
              <w:t>Continuity / handoff</w:t>
            </w:r>
          </w:p>
        </w:tc>
      </w:tr>
      <w:tr>
        <w:tc>
          <w:tcPr>
            <w:tcW w:type="dxa" w:w="3504"/>
            <w:vAlign w:val="center"/>
          </w:tcPr>
          <w:p>
            <w:r/>
            <w:r>
              <w:rPr>
                <w:b w:val="0"/>
                <w:sz w:val="15"/>
              </w:rPr>
              <w:t>Hosted operations hub</w:t>
            </w:r>
          </w:p>
        </w:tc>
        <w:tc>
          <w:tcPr>
            <w:tcW w:type="dxa" w:w="3504"/>
            <w:vAlign w:val="center"/>
          </w:tcPr>
          <w:p>
            <w:r/>
            <w:r>
              <w:rPr>
                <w:b w:val="0"/>
                <w:sz w:val="15"/>
              </w:rPr>
              <w:t>Booking and parts-lookup application; one tenant for all seven centers, reachable over managed WAN.</w:t>
            </w:r>
          </w:p>
        </w:tc>
        <w:tc>
          <w:tcPr>
            <w:tcW w:type="dxa" w:w="3504"/>
            <w:vAlign w:val="center"/>
          </w:tcPr>
          <w:p>
            <w:r/>
            <w:r>
              <w:rPr>
                <w:b w:val="0"/>
                <w:sz w:val="15"/>
              </w:rPr>
              <w:t>Each center has local browser/workstation access; booking queues locally during a short WAN interruption and staff escalate unresolved items.</w:t>
            </w:r>
          </w:p>
        </w:tc>
      </w:tr>
      <w:tr>
        <w:tc>
          <w:tcPr>
            <w:tcW w:type="dxa" w:w="3504"/>
            <w:vAlign w:val="center"/>
          </w:tcPr>
          <w:p>
            <w:r/>
            <w:r>
              <w:rPr>
                <w:b w:val="0"/>
                <w:sz w:val="15"/>
              </w:rPr>
              <w:t>Peoria edge relay</w:t>
            </w:r>
          </w:p>
        </w:tc>
        <w:tc>
          <w:tcPr>
            <w:tcW w:type="dxa" w:w="3504"/>
            <w:vAlign w:val="center"/>
          </w:tcPr>
          <w:p>
            <w:r/>
            <w:r>
              <w:rPr>
                <w:b w:val="0"/>
                <w:sz w:val="15"/>
              </w:rPr>
              <w:t>Managed VM replaces the unsupported server role for the Longbarrow connector. It pulls the feed, validates timestamps, and publishes a read-only price cache to the hub.</w:t>
            </w:r>
          </w:p>
        </w:tc>
        <w:tc>
          <w:tcPr>
            <w:tcW w:type="dxa" w:w="3504"/>
            <w:vAlign w:val="center"/>
          </w:tcPr>
          <w:p>
            <w:r/>
            <w:r>
              <w:rPr>
                <w:b w:val="0"/>
                <w:sz w:val="15"/>
              </w:rPr>
              <w:t>If feed is down, last-known-good prices are labeled with age; parts lookup remains available. Feed/vendor issue is handed to integrator/Longbarrow.</w:t>
            </w:r>
          </w:p>
        </w:tc>
      </w:tr>
      <w:tr>
        <w:tc>
          <w:tcPr>
            <w:tcW w:type="dxa" w:w="3504"/>
            <w:vAlign w:val="center"/>
          </w:tcPr>
          <w:p>
            <w:r/>
            <w:r>
              <w:rPr>
                <w:b w:val="0"/>
                <w:sz w:val="15"/>
              </w:rPr>
              <w:t>Payment boundary</w:t>
            </w:r>
          </w:p>
        </w:tc>
        <w:tc>
          <w:tcPr>
            <w:tcW w:type="dxa" w:w="3504"/>
            <w:vAlign w:val="center"/>
          </w:tcPr>
          <w:p>
            <w:r/>
            <w:r>
              <w:rPr>
                <w:b w:val="0"/>
                <w:sz w:val="15"/>
              </w:rPr>
              <w:t>Card terminals and payment gateway sit on a dedicated payment VLAN/Internet path, outside the shop-floor VLAN and hub trust zone.</w:t>
            </w:r>
          </w:p>
        </w:tc>
        <w:tc>
          <w:tcPr>
            <w:tcW w:type="dxa" w:w="3504"/>
            <w:vAlign w:val="center"/>
          </w:tcPr>
          <w:p>
            <w:r/>
            <w:r>
              <w:rPr>
                <w:b w:val="0"/>
                <w:sz w:val="15"/>
              </w:rPr>
              <w:t>Payment authorization failure is handled by processor procedure; no card data is written to booking or shop-floor systems.</w:t>
            </w:r>
          </w:p>
        </w:tc>
      </w:tr>
    </w:tbl>
    <w:p>
      <w:pPr>
        <w:spacing w:before="100" w:after="40"/>
      </w:pPr>
      <w:r>
        <w:rPr>
          <w:b/>
          <w:color w:val="1F4E79"/>
          <w:sz w:val="22"/>
        </w:rPr>
        <w:t>Recurring cost treatment (planning estimate)</w:t>
      </w:r>
    </w:p>
    <w:tbl>
      <w:tblPr>
        <w:tblStyle w:val="TableGrid"/>
        <w:tblW w:type="auto" w:w="0"/>
        <w:jc w:val="left"/>
        <w:tblLook w:firstColumn="1" w:firstRow="1" w:lastColumn="0" w:lastRow="0" w:noHBand="0" w:noVBand="1" w:val="04A0"/>
      </w:tblPr>
      <w:tblGrid>
        <w:gridCol w:w="5256"/>
        <w:gridCol w:w="5256"/>
      </w:tblGrid>
      <w:tr>
        <w:tc>
          <w:tcPr>
            <w:tcW w:type="dxa" w:w="5256"/>
            <w:vAlign w:val="center"/>
            <w:shd w:fill="1F4E79"/>
          </w:tcPr>
          <w:p>
            <w:r/>
            <w:r>
              <w:rPr>
                <w:b/>
                <w:color w:val="FFFFFF"/>
                <w:sz w:val="16"/>
              </w:rPr>
              <w:t>Component (assumption pending quote)</w:t>
            </w:r>
          </w:p>
        </w:tc>
        <w:tc>
          <w:tcPr>
            <w:tcW w:type="dxa" w:w="5256"/>
            <w:vAlign w:val="center"/>
            <w:shd w:fill="1F4E79"/>
          </w:tcPr>
          <w:p>
            <w:r/>
            <w:r>
              <w:rPr>
                <w:b/>
                <w:color w:val="FFFFFF"/>
                <w:sz w:val="16"/>
              </w:rPr>
              <w:t>$/month</w:t>
            </w:r>
          </w:p>
        </w:tc>
      </w:tr>
      <w:tr>
        <w:tc>
          <w:tcPr>
            <w:tcW w:type="dxa" w:w="5256"/>
            <w:vAlign w:val="center"/>
          </w:tcPr>
          <w:p>
            <w:r/>
            <w:r>
              <w:rPr>
                <w:b w:val="0"/>
                <w:sz w:val="16"/>
              </w:rPr>
              <w:t>Hosted booking + parts lookup service</w:t>
            </w:r>
          </w:p>
        </w:tc>
        <w:tc>
          <w:tcPr>
            <w:tcW w:type="dxa" w:w="5256"/>
            <w:vAlign w:val="center"/>
          </w:tcPr>
          <w:p>
            <w:r/>
            <w:r>
              <w:rPr>
                <w:b w:val="0"/>
                <w:sz w:val="16"/>
              </w:rPr>
              <w:t>$1,650</w:t>
            </w:r>
          </w:p>
        </w:tc>
      </w:tr>
      <w:tr>
        <w:tc>
          <w:tcPr>
            <w:tcW w:type="dxa" w:w="5256"/>
            <w:vAlign w:val="center"/>
          </w:tcPr>
          <w:p>
            <w:r/>
            <w:r>
              <w:rPr>
                <w:b w:val="0"/>
                <w:sz w:val="16"/>
              </w:rPr>
              <w:t>Peoria edge VM, backup and monitoring</w:t>
            </w:r>
          </w:p>
        </w:tc>
        <w:tc>
          <w:tcPr>
            <w:tcW w:type="dxa" w:w="5256"/>
            <w:vAlign w:val="center"/>
          </w:tcPr>
          <w:p>
            <w:r/>
            <w:r>
              <w:rPr>
                <w:b w:val="0"/>
                <w:sz w:val="16"/>
              </w:rPr>
              <w:t>$850</w:t>
            </w:r>
          </w:p>
        </w:tc>
      </w:tr>
      <w:tr>
        <w:tc>
          <w:tcPr>
            <w:tcW w:type="dxa" w:w="5256"/>
            <w:vAlign w:val="center"/>
          </w:tcPr>
          <w:p>
            <w:r/>
            <w:r>
              <w:rPr>
                <w:b w:val="0"/>
                <w:sz w:val="16"/>
              </w:rPr>
              <w:t>WAN/connectivity for seven centers</w:t>
            </w:r>
          </w:p>
        </w:tc>
        <w:tc>
          <w:tcPr>
            <w:tcW w:type="dxa" w:w="5256"/>
            <w:vAlign w:val="center"/>
          </w:tcPr>
          <w:p>
            <w:r/>
            <w:r>
              <w:rPr>
                <w:b w:val="0"/>
                <w:sz w:val="16"/>
              </w:rPr>
              <w:t>$980</w:t>
            </w:r>
          </w:p>
        </w:tc>
      </w:tr>
      <w:tr>
        <w:tc>
          <w:tcPr>
            <w:tcW w:type="dxa" w:w="5256"/>
            <w:vAlign w:val="center"/>
          </w:tcPr>
          <w:p>
            <w:r/>
            <w:r>
              <w:rPr>
                <w:b w:val="0"/>
                <w:sz w:val="16"/>
              </w:rPr>
              <w:t>Managed support and feed operations</w:t>
            </w:r>
          </w:p>
        </w:tc>
        <w:tc>
          <w:tcPr>
            <w:tcW w:type="dxa" w:w="5256"/>
            <w:vAlign w:val="center"/>
          </w:tcPr>
          <w:p>
            <w:r/>
            <w:r>
              <w:rPr>
                <w:b w:val="0"/>
                <w:sz w:val="16"/>
              </w:rPr>
              <w:t>$620</w:t>
            </w:r>
          </w:p>
        </w:tc>
      </w:tr>
      <w:tr>
        <w:tc>
          <w:tcPr>
            <w:tcW w:type="dxa" w:w="5256"/>
            <w:vAlign w:val="center"/>
            <w:shd w:fill="EAF2F8"/>
          </w:tcPr>
          <w:p>
            <w:r/>
            <w:r>
              <w:rPr>
                <w:b/>
                <w:sz w:val="16"/>
              </w:rPr>
              <w:t>Total / ceiling headroom</w:t>
            </w:r>
          </w:p>
        </w:tc>
        <w:tc>
          <w:tcPr>
            <w:tcW w:type="dxa" w:w="5256"/>
            <w:vAlign w:val="center"/>
            <w:shd w:fill="EAF2F8"/>
          </w:tcPr>
          <w:p>
            <w:r/>
            <w:r>
              <w:rPr>
                <w:b/>
                <w:sz w:val="16"/>
              </w:rPr>
              <w:t>$4,100 / $4,500 ($400 headroom)</w:t>
            </w:r>
          </w:p>
        </w:tc>
      </w:tr>
    </w:tbl>
    <w:p>
      <w:r>
        <w:t>All figures are internal planning assumptions, not vendor quotations or lease terms. Finance must validate lease structure, taxes, term, and bank documentation before commitment.</w:t>
      </w:r>
    </w:p>
    <w:p>
      <w:pPr>
        <w:spacing w:before="100" w:after="40"/>
      </w:pPr>
      <w:r>
        <w:rPr>
          <w:b/>
          <w:color w:val="1F4E79"/>
          <w:sz w:val="22"/>
        </w:rPr>
        <w:t>Assumptions and risks</w:t>
      </w:r>
    </w:p>
    <w:p>
      <w:r>
        <w:t>ASSUMPTIONS: existing counter workstations and card terminals can use the managed WAN; the Longbarrow connector can run in a supported VM wrapper; the price feed permits scheduled polling; ${980:,.0f}/month covers connectivity at all seven centers. RISKS: feed protocol or licensing may require a connector change; WAN outage affects live booking; cache age can make a price stale; actual quotes could exceed the ceiling. Integrator must test connector, failover, and cache labeling before cutover; operations will not claim completion until evidence is supplied.</w:t>
      </w:r>
    </w:p>
    <w:p>
      <w:pPr>
        <w:spacing w:before="100" w:after="40"/>
      </w:pPr>
      <w:r>
        <w:rPr>
          <w:b/>
          <w:color w:val="1F4E79"/>
          <w:sz w:val="22"/>
        </w:rPr>
        <w:t>Rejected configurations</w:t>
      </w:r>
    </w:p>
    <w:p>
      <w:r>
        <w:t>1) Cloud-only hub with direct Longbarrow integration — rejected because the stated feed is legacy-server-only; assuming a cloud-compatible protocol would create an unpriced dependency and jeopardize counter service.</w:t>
        <w:br/>
        <w:t>2) Seven independent site servers — rejected because it multiplies support, backup, and data-consistency risk for Windermere Council bookings and would erode the ${4500:,.0f}/month ceiling.</w:t>
        <w:br/>
        <w:t>3) Retain and virtualize the 2012 R2 server — rejected because it preserves the November support exposure and leaves a single Peoria failure domain.</w:t>
      </w:r>
    </w:p>
    <w:p>
      <w:pPr>
        <w:spacing w:before="100" w:after="40"/>
      </w:pPr>
      <w:r>
        <w:rPr>
          <w:b/>
          <w:color w:val="1F4E79"/>
          <w:sz w:val="22"/>
        </w:rPr>
        <w:t>Ownership boundaries and decision</w:t>
      </w:r>
    </w:p>
    <w:p>
      <w:r>
        <w:t>Operations owns this placement decision, service priorities, and acceptance criteria. Finance owns lease affordability, term, taxes, and bank package approval. Information Security owns segmentation review, access controls, logging, and any certification. The payment processor owns terminal/gateway certification and outage procedures. The contract integrator owns sizing, migration, connector testing, backup restore tests, and implementation dates. None of those approvals or activities is represented as complete here.</w:t>
      </w:r>
    </w:p>
    <w:p>
      <w:r>
        <w:t>DECISION REQUEST: Lachlan should authorize Managed Operations Hub with Peoria Edge Relay as the sole target-state brief for integrator scoping and finance/security/processor review before the November deadline. Do not authorize production cutover until the named owners accept their evidence.</w:t>
      </w:r>
    </w:p>
    <w:sectPr w:rsidR="00FC693F" w:rsidRPr="0006063C" w:rsidSect="00034616">
      <w:footerReference w:type="default" r:id="rId9"/>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Sablefield Tire &amp; Auto | Internal decision draft | 24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