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36"/>
        </w:rPr>
        <w:t>SALTMARSH PRESS</w:t>
        <w:br/>
        <w:t>ANNUAL ESOP CYCLE HANDOFF BRIEF</w:t>
      </w:r>
    </w:p>
    <w:p>
      <w:pPr>
        <w:jc w:val="center"/>
      </w:pPr>
      <w:r>
        <w:rPr>
          <w:sz w:val="18"/>
        </w:rPr>
        <w:t>For Eamon Rasmussen and frontline benefits / payroll coverage • 2026 cycle</w:t>
      </w:r>
    </w:p>
    <w:p>
      <w:r>
        <w:rPr>
          <w:b/>
          <w:color w:val="17324D"/>
          <w:sz w:val="24"/>
        </w:rPr>
        <w:t>Purpose and how to use this brief</w:t>
      </w:r>
    </w:p>
    <w:p>
      <w:r>
        <w:t>This is the handoff guide for Saltmarsh Press’s annual ESOP cycle. The 31 December 2025 valuation anchor drives trustee approval, allocation, diversification elections, and retiree distributions. Use the weekly plan in saltmarsh_esop_cycle_plan.pptx and record live work in saltmarsh_esop_cycle_tracker.xlsx.</w:t>
      </w:r>
    </w:p>
    <w:p>
      <w:r>
        <w:rPr>
          <w:b/>
          <w:color w:val="17324D"/>
          <w:sz w:val="24"/>
        </w:rPr>
        <w:t>Who hands what to whom</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Handoff</w:t>
            </w:r>
          </w:p>
        </w:tc>
        <w:tc>
          <w:tcPr>
            <w:tcW w:type="dxa" w:w="3408"/>
          </w:tcPr>
          <w:p>
            <w:r>
              <w:t>Receiving party</w:t>
            </w:r>
          </w:p>
        </w:tc>
        <w:tc>
          <w:tcPr>
            <w:tcW w:type="dxa" w:w="3408"/>
          </w:tcPr>
          <w:p>
            <w:r>
              <w:t>Gate / expected input</w:t>
            </w:r>
          </w:p>
        </w:tc>
      </w:tr>
      <w:tr>
        <w:tc>
          <w:tcPr>
            <w:tcW w:type="dxa" w:w="3408"/>
          </w:tcPr>
          <w:p>
            <w:r>
              <w:t>Valuation appraiser → Javier / Eamon</w:t>
            </w:r>
          </w:p>
        </w:tc>
        <w:tc>
          <w:tcPr>
            <w:tcW w:type="dxa" w:w="3408"/>
          </w:tcPr>
          <w:p>
            <w:r>
              <w:t>Appraiser draft</w:t>
            </w:r>
          </w:p>
        </w:tc>
        <w:tc>
          <w:tcPr>
            <w:tcW w:type="dxa" w:w="3408"/>
          </w:tcPr>
          <w:p>
            <w:r>
              <w:t>Draft before review</w:t>
            </w:r>
          </w:p>
        </w:tc>
      </w:tr>
      <w:tr>
        <w:tc>
          <w:tcPr>
            <w:tcW w:type="dxa" w:w="3408"/>
          </w:tcPr>
          <w:p>
            <w:r>
              <w:t>Javier → ESOP trustee</w:t>
            </w:r>
          </w:p>
        </w:tc>
        <w:tc>
          <w:tcPr>
            <w:tcW w:type="dxa" w:w="3408"/>
          </w:tcPr>
          <w:p>
            <w:r>
              <w:t>Reviewed draft</w:t>
            </w:r>
          </w:p>
        </w:tc>
        <w:tc>
          <w:tcPr>
            <w:tcW w:type="dxa" w:w="3408"/>
          </w:tcPr>
          <w:p>
            <w:r>
              <w:t>Q2 approval: 14 Apr</w:t>
            </w:r>
          </w:p>
        </w:tc>
      </w:tr>
      <w:tr>
        <w:tc>
          <w:tcPr>
            <w:tcW w:type="dxa" w:w="3408"/>
          </w:tcPr>
          <w:p>
            <w:r>
              <w:t>ESOP trustee → Eamon</w:t>
            </w:r>
          </w:p>
        </w:tc>
        <w:tc>
          <w:tcPr>
            <w:tcW w:type="dxa" w:w="3408"/>
          </w:tcPr>
          <w:p>
            <w:r>
              <w:t>Approval outcome</w:t>
            </w:r>
          </w:p>
        </w:tc>
        <w:tc>
          <w:tcPr>
            <w:tcW w:type="dxa" w:w="3408"/>
          </w:tcPr>
          <w:p>
            <w:r>
              <w:t>Clears allocation</w:t>
            </w:r>
          </w:p>
        </w:tc>
      </w:tr>
      <w:tr>
        <w:tc>
          <w:tcPr>
            <w:tcW w:type="dxa" w:w="3408"/>
          </w:tcPr>
          <w:p>
            <w:r>
              <w:t>Payroll team → Eamon</w:t>
            </w:r>
          </w:p>
        </w:tc>
        <w:tc>
          <w:tcPr>
            <w:tcW w:type="dxa" w:w="3408"/>
          </w:tcPr>
          <w:p>
            <w:r>
              <w:t>Reconciled allocation input</w:t>
            </w:r>
          </w:p>
        </w:tc>
        <w:tc>
          <w:tcPr>
            <w:tcW w:type="dxa" w:w="3408"/>
          </w:tcPr>
          <w:p>
            <w:r>
              <w:t>Clears letter release</w:t>
            </w:r>
          </w:p>
        </w:tc>
      </w:tr>
      <w:tr>
        <w:tc>
          <w:tcPr>
            <w:tcW w:type="dxa" w:w="3408"/>
          </w:tcPr>
          <w:p>
            <w:r>
              <w:t>Benefits operations → participants</w:t>
            </w:r>
          </w:p>
        </w:tc>
        <w:tc>
          <w:tcPr>
            <w:tcW w:type="dxa" w:w="3408"/>
          </w:tcPr>
          <w:p>
            <w:r>
              <w:t>Election letters</w:t>
            </w:r>
          </w:p>
        </w:tc>
        <w:tc>
          <w:tcPr>
            <w:tcW w:type="dxa" w:w="3408"/>
          </w:tcPr>
          <w:p>
            <w:r>
              <w:t>Release 29 Jun after June collision</w:t>
            </w:r>
          </w:p>
        </w:tc>
      </w:tr>
      <w:tr>
        <w:tc>
          <w:tcPr>
            <w:tcW w:type="dxa" w:w="3408"/>
          </w:tcPr>
          <w:p>
            <w:r>
              <w:t>Eamon → Payroll team</w:t>
            </w:r>
          </w:p>
        </w:tc>
        <w:tc>
          <w:tcPr>
            <w:tcW w:type="dxa" w:w="3408"/>
          </w:tcPr>
          <w:p>
            <w:r>
              <w:t>Approved distribution file</w:t>
            </w:r>
          </w:p>
        </w:tc>
        <w:tc>
          <w:tcPr>
            <w:tcW w:type="dxa" w:w="3408"/>
          </w:tcPr>
          <w:p>
            <w:r>
              <w:t>Window outcome and cutoffs</w:t>
            </w:r>
          </w:p>
        </w:tc>
      </w:tr>
    </w:tbl>
    <w:p>
      <w:r>
        <w:rPr>
          <w:b/>
          <w:color w:val="17324D"/>
          <w:sz w:val="24"/>
        </w:rPr>
        <w:t>Gate logic and waiting states</w:t>
      </w:r>
    </w:p>
    <w:p>
      <w:r>
        <w:t>A gate is a must-be-complete-before condition. Trustee approval precedes allocation; allocation preparation and reconciliation precede election-letter release; the 30-calendar-day election window (30 Jun–29 Jul 2026) closes before distribution preparation; the distribution payroll cutoff is 31 Jul and release cutoff is 14 Aug. Set Status to Waiting when the named Waiting on party has not supplied the input or the gate is not cleared. Record the missing item and next follow-up in the tracker.</w:t>
      </w:r>
    </w:p>
    <w:p>
      <w:r>
        <w:rPr>
          <w:b/>
          <w:color w:val="17324D"/>
          <w:sz w:val="24"/>
        </w:rPr>
        <w:t>June collision sequence</w:t>
      </w:r>
    </w:p>
    <w:p>
      <w:r>
        <w:t>Selected order: payroll cutoff work (08–12 Jun) → Form 5500 extension work (15–19 Jun; deadline 30 Jun) → plan-audit sample work (22–26 Jun). This protects the earliest payroll cutoff, uses the next week for the extension, and preserves the audit sample window. Election letters release on 29 Jun only after June work and allocation reconciliation are clear.</w:t>
      </w:r>
    </w:p>
    <w:p>
      <w:r>
        <w:rPr>
          <w:b/>
          <w:color w:val="17324D"/>
          <w:sz w:val="24"/>
        </w:rPr>
        <w:t>Tracker status vocabulary</w:t>
      </w:r>
    </w:p>
    <w:p>
      <w:r>
        <w:t>Not started = no work begun. Waiting = external input or gate outstanding. In progress = actively being worked. Complete = finished and handed off. At risk = a cutoff or dependency may be missed. Derived variance is actual completion date minus planned date; blank means no actual date entered.</w:t>
      </w:r>
    </w:p>
    <w:p>
      <w:r>
        <w:rPr>
          <w:b/>
          <w:color w:val="17324D"/>
          <w:sz w:val="24"/>
        </w:rPr>
        <w:t>When a handoff is late or incomplete</w:t>
      </w:r>
    </w:p>
    <w:p>
      <w:r>
        <w:t>Set At risk, identify the waiting party, state what is missing, note the cutoff or gate threatened, and record the follow-up in Owner comments or Exception. Keep Handoff confirmed blank until the recipient acknowledges receipt.</w:t>
      </w:r>
    </w:p>
    <w:p>
      <w:r>
        <w:rPr>
          <w:b/>
          <w:color w:val="17324D"/>
          <w:sz w:val="24"/>
        </w:rPr>
        <w:t>Coverage record — leave blank for live use</w:t>
      </w:r>
    </w:p>
    <w:tbl>
      <w:tblPr>
        <w:tblStyle w:val="TableGrid"/>
        <w:tblW w:type="auto" w:w="0"/>
        <w:jc w:val="center"/>
        <w:tblLook w:firstColumn="1" w:firstRow="1" w:lastColumn="0" w:lastRow="0" w:noHBand="0" w:noVBand="1" w:val="04A0"/>
      </w:tblPr>
      <w:tblGrid>
        <w:gridCol w:w="5112"/>
        <w:gridCol w:w="5112"/>
      </w:tblGrid>
      <w:tr>
        <w:tc>
          <w:tcPr>
            <w:tcW w:type="dxa" w:w="5112"/>
          </w:tcPr>
          <w:p>
            <w:r>
              <w:t>Covering employee</w:t>
            </w:r>
          </w:p>
        </w:tc>
        <w:tc>
          <w:tcPr>
            <w:tcW w:type="dxa" w:w="5112"/>
          </w:tcPr>
          <w:p>
            <w:r/>
          </w:p>
        </w:tc>
      </w:tr>
      <w:tr>
        <w:tc>
          <w:tcPr>
            <w:tcW w:type="dxa" w:w="5112"/>
          </w:tcPr>
          <w:p>
            <w:r>
              <w:t>Date received</w:t>
            </w:r>
          </w:p>
        </w:tc>
        <w:tc>
          <w:tcPr>
            <w:tcW w:type="dxa" w:w="5112"/>
          </w:tcPr>
          <w:p>
            <w:r/>
          </w:p>
        </w:tc>
      </w:tr>
      <w:tr>
        <w:tc>
          <w:tcPr>
            <w:tcW w:type="dxa" w:w="5112"/>
          </w:tcPr>
          <w:p>
            <w:r>
              <w:t>Exception narrative</w:t>
            </w:r>
          </w:p>
        </w:tc>
        <w:tc>
          <w:tcPr>
            <w:tcW w:type="dxa" w:w="5112"/>
          </w:tcPr>
          <w:p>
            <w:r/>
          </w:p>
        </w:tc>
      </w:tr>
      <w:tr>
        <w:tc>
          <w:tcPr>
            <w:tcW w:type="dxa" w:w="5112"/>
          </w:tcPr>
          <w:p>
            <w:r>
              <w:t>Escalation outcome</w:t>
            </w:r>
          </w:p>
        </w:tc>
        <w:tc>
          <w:tcPr>
            <w:tcW w:type="dxa" w:w="5112"/>
          </w:tcPr>
          <w:p>
            <w:r/>
          </w:p>
        </w:tc>
      </w:tr>
      <w:tr>
        <w:tc>
          <w:tcPr>
            <w:tcW w:type="dxa" w:w="5112"/>
          </w:tcPr>
          <w:p>
            <w:r>
              <w:t>Post-cycle review</w:t>
            </w:r>
          </w:p>
        </w:tc>
        <w:tc>
          <w:tcPr>
            <w:tcW w:type="dxa" w:w="5112"/>
          </w:tcPr>
          <w:p>
            <w:r/>
          </w:p>
        </w:tc>
      </w:tr>
    </w:tbl>
    <w:p>
      <w:r>
        <w:rPr>
          <w:sz w:val="16"/>
        </w:rPr>
        <w:t>Source file: saltmarsh_esop_cycle_source.xlsx</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