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78"/>
          <w:sz w:val="36"/>
        </w:rPr>
        <w:t>Marlowe Engineering</w:t>
        <w:br/>
        <w:t>Claim Terms &amp; Rate Card</w:t>
      </w:r>
    </w:p>
    <w:p>
      <w:r>
        <w:rPr>
          <w:i/>
          <w:sz w:val="17"/>
        </w:rPr>
        <w:t>Operations finance reference | Effective 01 May 2024 | Applies to Willowmere temperature-controlled deliveries</w:t>
      </w:r>
    </w:p>
    <w:p>
      <w:pPr>
        <w:pStyle w:val="Heading1"/>
      </w:pPr>
      <w:r>
        <w:t>Permitted recovery paths</w:t>
      </w:r>
    </w:p>
    <w:p>
      <w:r>
        <w:t>Invoice correction may be requested at the unit price printed on the dispatch invoice when the invoice quantity exceeds the physical shipment or a confirmed physical shortfall is documented. The invoice unit price is the price shown in the Tuesday dispatch packet; normalize formatting only, not the economic rate.</w:t>
      </w:r>
    </w:p>
    <w:p>
      <w:r>
        <w:t>Standard inventory shortfall recovery may be requested for confirmed missing physical assemblies at the approved rate below. It is not available for a charge-only invoice difference where no physical item is missing. Do not stack an invoice correction and inventory recovery for the same physical assembly. These terms do not set precedence when more than one permitted path could be considered.</w:t>
      </w:r>
    </w:p>
    <w:p>
      <w:pPr>
        <w:pStyle w:val="Heading1"/>
      </w:pPr>
      <w:r>
        <w:t>Approved standard inventory rates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Pr>
                <w:rFonts w:ascii="Aptos" w:hAnsi="Aptos"/>
                <w:b/>
                <w:color w:val="FFFFFF"/>
                <w:sz w:val="17"/>
              </w:rPr>
              <w:t>SKU</w:t>
            </w:r>
          </w:p>
        </w:tc>
        <w:tc>
          <w:tcPr>
            <w:tcW w:type="dxa" w:w="3456"/>
            <w:shd w:fill="1F4E78"/>
            <w:vAlign w:val="center"/>
          </w:tcPr>
          <w:p>
            <w:r>
              <w:rPr>
                <w:rFonts w:ascii="Aptos" w:hAnsi="Aptos"/>
                <w:b/>
                <w:color w:val="FFFFFF"/>
                <w:sz w:val="17"/>
              </w:rPr>
              <w:t>Description</w:t>
            </w:r>
          </w:p>
        </w:tc>
        <w:tc>
          <w:tcPr>
            <w:tcW w:type="dxa" w:w="3456"/>
            <w:shd w:fill="1F4E78"/>
            <w:vAlign w:val="center"/>
          </w:tcPr>
          <w:p>
            <w:r>
              <w:rPr>
                <w:rFonts w:ascii="Aptos" w:hAnsi="Aptos"/>
                <w:b/>
                <w:color w:val="FFFFFF"/>
                <w:sz w:val="17"/>
              </w:rPr>
              <w:t>Approved rate / physical assembly</w:t>
            </w:r>
          </w:p>
        </w:tc>
      </w:tr>
      <w:tr>
        <w:tc>
          <w:tcPr>
            <w:tcW w:type="dxa" w:w="3456"/>
            <w:vAlign w:val="center"/>
          </w:tcPr>
          <w:p>
            <w:r>
              <w:rPr>
                <w:rFonts w:ascii="Aptos" w:hAnsi="Aptos"/>
                <w:sz w:val="17"/>
              </w:rPr>
              <w:t>IP-100</w:t>
            </w:r>
          </w:p>
        </w:tc>
        <w:tc>
          <w:tcPr>
            <w:tcW w:type="dxa" w:w="3456"/>
            <w:vAlign w:val="center"/>
          </w:tcPr>
          <w:p>
            <w:r>
              <w:rPr>
                <w:rFonts w:ascii="Aptos" w:hAnsi="Aptos"/>
                <w:sz w:val="17"/>
              </w:rPr>
              <w:t>Base Pump Assembly</w:t>
            </w:r>
          </w:p>
        </w:tc>
        <w:tc>
          <w:tcPr>
            <w:tcW w:type="dxa" w:w="3456"/>
            <w:vAlign w:val="center"/>
          </w:tcPr>
          <w:p>
            <w:r>
              <w:rPr>
                <w:rFonts w:ascii="Aptos" w:hAnsi="Aptos"/>
                <w:sz w:val="17"/>
              </w:rPr>
              <w:t>$1,180.00</w:t>
            </w:r>
          </w:p>
        </w:tc>
      </w:tr>
      <w:tr>
        <w:tc>
          <w:tcPr>
            <w:tcW w:type="dxa" w:w="3456"/>
            <w:vAlign w:val="center"/>
          </w:tcPr>
          <w:p>
            <w:r>
              <w:rPr>
                <w:rFonts w:ascii="Aptos" w:hAnsi="Aptos"/>
                <w:sz w:val="17"/>
              </w:rPr>
              <w:t>IP-220</w:t>
            </w:r>
          </w:p>
        </w:tc>
        <w:tc>
          <w:tcPr>
            <w:tcW w:type="dxa" w:w="3456"/>
            <w:vAlign w:val="center"/>
          </w:tcPr>
          <w:p>
            <w:r>
              <w:rPr>
                <w:rFonts w:ascii="Aptos" w:hAnsi="Aptos"/>
                <w:sz w:val="17"/>
              </w:rPr>
              <w:t>Extended Pump Assembly</w:t>
            </w:r>
          </w:p>
        </w:tc>
        <w:tc>
          <w:tcPr>
            <w:tcW w:type="dxa" w:w="3456"/>
            <w:vAlign w:val="center"/>
          </w:tcPr>
          <w:p>
            <w:r>
              <w:rPr>
                <w:rFonts w:ascii="Aptos" w:hAnsi="Aptos"/>
                <w:sz w:val="17"/>
              </w:rPr>
              <w:t>$2,350.00</w:t>
            </w:r>
          </w:p>
        </w:tc>
      </w:tr>
      <w:tr>
        <w:tc>
          <w:tcPr>
            <w:tcW w:type="dxa" w:w="3456"/>
            <w:vAlign w:val="center"/>
          </w:tcPr>
          <w:p>
            <w:r>
              <w:rPr>
                <w:rFonts w:ascii="Aptos" w:hAnsi="Aptos"/>
                <w:sz w:val="17"/>
              </w:rPr>
              <w:t>IP-330</w:t>
            </w:r>
          </w:p>
        </w:tc>
        <w:tc>
          <w:tcPr>
            <w:tcW w:type="dxa" w:w="3456"/>
            <w:vAlign w:val="center"/>
          </w:tcPr>
          <w:p>
            <w:r>
              <w:rPr>
                <w:rFonts w:ascii="Aptos" w:hAnsi="Aptos"/>
                <w:sz w:val="17"/>
              </w:rPr>
              <w:t>Pediatric Pump Assembly</w:t>
            </w:r>
          </w:p>
        </w:tc>
        <w:tc>
          <w:tcPr>
            <w:tcW w:type="dxa" w:w="3456"/>
            <w:vAlign w:val="center"/>
          </w:tcPr>
          <w:p>
            <w:r>
              <w:rPr>
                <w:rFonts w:ascii="Aptos" w:hAnsi="Aptos"/>
                <w:sz w:val="17"/>
              </w:rPr>
              <w:t>USD 2,980</w:t>
            </w:r>
          </w:p>
        </w:tc>
      </w:tr>
      <w:tr>
        <w:tc>
          <w:tcPr>
            <w:tcW w:type="dxa" w:w="3456"/>
            <w:vAlign w:val="center"/>
          </w:tcPr>
          <w:p>
            <w:r>
              <w:rPr>
                <w:rFonts w:ascii="Aptos" w:hAnsi="Aptos"/>
                <w:sz w:val="17"/>
              </w:rPr>
              <w:t>IP-410</w:t>
            </w:r>
          </w:p>
        </w:tc>
        <w:tc>
          <w:tcPr>
            <w:tcW w:type="dxa" w:w="3456"/>
            <w:vAlign w:val="center"/>
          </w:tcPr>
          <w:p>
            <w:r>
              <w:rPr>
                <w:rFonts w:ascii="Aptos" w:hAnsi="Aptos"/>
                <w:sz w:val="17"/>
              </w:rPr>
              <w:t>Sterile Pump Assembly</w:t>
            </w:r>
          </w:p>
        </w:tc>
        <w:tc>
          <w:tcPr>
            <w:tcW w:type="dxa" w:w="3456"/>
            <w:vAlign w:val="center"/>
          </w:tcPr>
          <w:p>
            <w:r>
              <w:rPr>
                <w:rFonts w:ascii="Aptos" w:hAnsi="Aptos"/>
                <w:sz w:val="17"/>
              </w:rPr>
              <w:t>$4,850.0</w:t>
            </w:r>
          </w:p>
        </w:tc>
      </w:tr>
      <w:tr>
        <w:tc>
          <w:tcPr>
            <w:tcW w:type="dxa" w:w="3456"/>
            <w:vAlign w:val="center"/>
          </w:tcPr>
          <w:p>
            <w:r>
              <w:rPr>
                <w:rFonts w:ascii="Aptos" w:hAnsi="Aptos"/>
                <w:sz w:val="17"/>
              </w:rPr>
              <w:t>IP-520</w:t>
            </w:r>
          </w:p>
        </w:tc>
        <w:tc>
          <w:tcPr>
            <w:tcW w:type="dxa" w:w="3456"/>
            <w:vAlign w:val="center"/>
          </w:tcPr>
          <w:p>
            <w:r>
              <w:rPr>
                <w:rFonts w:ascii="Aptos" w:hAnsi="Aptos"/>
                <w:sz w:val="17"/>
              </w:rPr>
              <w:t>High-Flow Pump Assembly</w:t>
            </w:r>
          </w:p>
        </w:tc>
        <w:tc>
          <w:tcPr>
            <w:tcW w:type="dxa" w:w="3456"/>
            <w:vAlign w:val="center"/>
          </w:tcPr>
          <w:p>
            <w:r>
              <w:rPr>
                <w:rFonts w:ascii="Aptos" w:hAnsi="Aptos"/>
                <w:sz w:val="17"/>
              </w:rPr>
              <w:t>1,810.000 USD</w:t>
            </w:r>
          </w:p>
        </w:tc>
      </w:tr>
      <w:tr>
        <w:tc>
          <w:tcPr>
            <w:tcW w:type="dxa" w:w="3456"/>
            <w:vAlign w:val="center"/>
          </w:tcPr>
          <w:p>
            <w:r>
              <w:rPr>
                <w:rFonts w:ascii="Aptos" w:hAnsi="Aptos"/>
                <w:sz w:val="17"/>
              </w:rPr>
              <w:t>IP-610</w:t>
            </w:r>
          </w:p>
        </w:tc>
        <w:tc>
          <w:tcPr>
            <w:tcW w:type="dxa" w:w="3456"/>
            <w:vAlign w:val="center"/>
          </w:tcPr>
          <w:p>
            <w:r>
              <w:rPr>
                <w:rFonts w:ascii="Aptos" w:hAnsi="Aptos"/>
                <w:sz w:val="17"/>
              </w:rPr>
              <w:t>Dual Channel Assembly</w:t>
            </w:r>
          </w:p>
        </w:tc>
        <w:tc>
          <w:tcPr>
            <w:tcW w:type="dxa" w:w="3456"/>
            <w:vAlign w:val="center"/>
          </w:tcPr>
          <w:p>
            <w:r>
              <w:rPr>
                <w:rFonts w:ascii="Aptos" w:hAnsi="Aptos"/>
                <w:sz w:val="17"/>
              </w:rPr>
              <w:t>Not set — invoice correction only</w:t>
            </w:r>
          </w:p>
        </w:tc>
      </w:tr>
    </w:tbl>
    <w:p>
      <w:pPr>
        <w:pStyle w:val="Heading1"/>
      </w:pPr>
      <w:r>
        <w:t>Evidence and handling</w:t>
      </w:r>
    </w:p>
    <w:p>
      <w:r>
        <w:t>Use the item record, carton label or pack relationship, receiving observation, and its attached note together. An opened or partial carton may be supported either by the observed complete-assembly count or, where a review adopts it, by a whole-carton receipt reading; record the basis used. A service-return item logged during unload is outside this delivery and is not a recoverable shipment item. Claims require a supported quantity and an applicable rate.</w:t>
      </w:r>
    </w:p>
    <w:p>
      <w:r>
        <w:rPr>
          <w:sz w:val="17"/>
        </w:rPr>
        <w:t>Owner: Supply Chain Finance  •  Contact: Billing Operations  •  Internal use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