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When a Check-In Comes Home</w:t>
      </w:r>
    </w:p>
    <w:p>
      <w:pPr>
        <w:pStyle w:val="Subtitle"/>
        <w:spacing w:after="80"/>
      </w:pPr>
      <w:r>
        <w:t>What Maryland caregivers can ask before deciding about Sheafield Holdings’ opt-in emotional screening</w:t>
      </w:r>
    </w:p>
    <w:p>
      <w:pPr>
        <w:spacing w:after="280"/>
      </w:pPr>
      <w:r>
        <w:rPr>
          <w:b/>
          <w:color w:val="5A5F5C"/>
          <w:sz w:val="19"/>
        </w:rPr>
        <w:t>By Renata Bruns, school social worker, Everstead Cooperative public family-services team</w:t>
      </w:r>
    </w:p>
    <w:tbl>
      <w:tblPr>
        <w:tblW w:type="auto" w:w="0"/>
        <w:tblLayout w:type="fixed"/>
        <w:tblLook w:firstColumn="1" w:firstRow="1" w:lastColumn="0" w:lastRow="0" w:noHBand="0" w:noVBand="1" w:val="04A0"/>
      </w:tblPr>
      <w:tblGrid>
        <w:gridCol w:w="2952"/>
        <w:gridCol w:w="6624"/>
      </w:tblGrid>
      <w:tr>
        <w:tc>
          <w:tcPr>
            <w:tcW w:type="dxa" w:w="2952"/>
            <w:shd w:fill="E8F1ED"/>
          </w:tcPr>
          <w:p>
            <w:pPr>
              <w:spacing w:after="0"/>
            </w:pPr>
            <w:r>
              <w:rPr>
                <w:b/>
                <w:color w:val="234B43"/>
                <w:sz w:val="16"/>
              </w:rPr>
              <w:t>KEY DATE</w:t>
              <w:br/>
            </w:r>
            <w:r>
              <w:rPr>
                <w:b/>
                <w:color w:val="234B43"/>
                <w:sz w:val="22"/>
              </w:rPr>
              <w:t>Caregiver opt-in due</w:t>
              <w:br/>
              <w:t>September 26, 2025</w:t>
            </w:r>
          </w:p>
        </w:tc>
        <w:tc>
          <w:tcPr>
            <w:tcW w:type="dxa" w:w="6624"/>
            <w:shd w:fill="E8F1ED"/>
          </w:tcPr>
          <w:p>
            <w:pPr>
              <w:spacing w:after="0"/>
            </w:pPr>
            <w:r>
              <w:rPr>
                <w:b/>
                <w:color w:val="234B43"/>
              </w:rPr>
              <w:t xml:space="preserve">Questions? </w:t>
            </w:r>
            <w:r>
              <w:rPr>
                <w:sz w:val="19"/>
              </w:rPr>
              <w:t>General, access, and child-specific questions can go to families@sheafield.example or your student’s school main office. Immediate safety concerns should use the existing same-day crisis route.</w:t>
            </w:r>
          </w:p>
        </w:tc>
      </w:tr>
    </w:tbl>
    <w:p>
      <w:pPr>
        <w:spacing w:after="40"/>
      </w:pPr>
    </w:p>
    <w:p>
      <w:r>
        <w:t>The form may look small: a few boxes, a signature, a date. But when a school asks you to decide whether your student may take part in an emotional screening, the real choice is larger. You are weighing what a brief set of questions could open up, what it cannot tell you, and how information might move after your child presses submit. You may also be hearing very different views at a board meeting or a school entrance. You do not have to settle the district debate to make a careful family decision.</w:t>
      </w:r>
    </w:p>
    <w:p>
      <w:pPr>
        <w:pStyle w:val="Heading1"/>
        <w:spacing w:before="180" w:after="60"/>
      </w:pPr>
      <w:r>
        <w:t>A decision, not a verdict</w:t>
      </w:r>
    </w:p>
    <w:p>
      <w:r>
        <w:t>This feature is here to help you decide whether participation in this specific pilot fits your child and family. It does not tell you to opt in or to decline, and it does not take a position on whether Sheafield should continue the pilot. Darius Ekstrom, chair of Everstead’s caregiver council, says families are asking about language access, stigma, who sees answers, and whether help will actually follow. Those are decision questions. They deserve clear answers, not a presumption that concern proves the pilot is good or bad.</w:t>
      </w:r>
    </w:p>
    <w:p>
      <w:pPr>
        <w:pStyle w:val="Heading1"/>
        <w:spacing w:before="180" w:after="60"/>
      </w:pPr>
      <w:r>
        <w:t>What is being offered</w:t>
      </w:r>
    </w:p>
    <w:p>
      <w:r>
        <w:t>Sheafield’s September 2025 Emotional Check-In Notice describes an opt-in pilot for students in grades 6–8 at eight Maryland schools. The notice says a six-item digital questionnaire will be given during advisory from October 6 through October 10. The instrument is described as an early conversation aid, not a diagnosis. Gerhard Lombardi, Sheafield’s student-services director, says the purpose is to begin conversations earlier rather than label students. That is an intention, not a promise about what any individual student will experience.</w:t>
      </w:r>
    </w:p>
    <w:p>
      <w:pPr>
        <w:pStyle w:val="Heading1"/>
        <w:spacing w:before="180" w:after="60"/>
      </w:pPr>
      <w:r>
        <w:t>A screening is a signal-finder</w:t>
      </w:r>
    </w:p>
    <w:p>
      <w:r>
        <w:t>The Emotional Check-In Notice’s description supports a narrow reading: a screening can flag answers that merit a closer, human conversation. It cannot establish a mental-health disorder, determine a treatment plan, predict what will happen next, or explain why a student answered in a particular way. Hana Radulescu, one of Sheafield’s four school social workers, says context can change what a score means. A tired week, a misunderstanding of a question, a cultural difference in describing feelings, or a situation outside school could matter; the score does not interpret itself. The Follow-Up Protocol therefore treats a threshold as the start of professional review, not a settled outcome.</w:t>
      </w:r>
    </w:p>
    <w:p>
      <w:pPr>
        <w:pStyle w:val="Heading1"/>
        <w:spacing w:before="180" w:after="60"/>
      </w:pPr>
      <w:r>
        <w:t>Opt-in means an affirmative yes</w:t>
      </w:r>
    </w:p>
    <w:p>
      <w:r>
        <w:t>The Emotional Check-In Notice says caregiver opt-in is required by September 26. Enrollment in a school, silence, or a form left in a backpack is not the same as affirmative permission. The Family Consent and Information-Sharing Form asks you to make separate choices: one about administering the screening and another about sharing information beyond the student-support team. Read each choice on its own. A signed administration consent permits the questionnaire to be given; it does not automatically authorize every kind of disclosure.</w:t>
      </w:r>
    </w:p>
    <w:p>
      <w:pPr>
        <w:pStyle w:val="Heading1"/>
        <w:spacing w:before="180" w:after="60"/>
      </w:pPr>
      <w:r>
        <w:t>Your student still has a say</w:t>
      </w:r>
    </w:p>
    <w:p>
      <w:r>
        <w:t>The Notice says a student may decline on the day of screening without punishment. It also says participation or nonparticipation does not change grades or access to existing student-support services. Those protections describe this pilot’s participation consequences; they do not promise a particular response, service, or result after a concerning answer. You can tell your student that your consent is a caregiver responsibility while their questions and willingness matter. Ask what they understand the six questions to be for, what feels uncomfortable, and what they would want an adult to know before the advisory period.</w:t>
      </w:r>
    </w:p>
    <w:p>
      <w:pPr>
        <w:pStyle w:val="Heading1"/>
        <w:spacing w:before="180" w:after="60"/>
      </w:pPr>
      <w:r>
        <w:t>Privacy has two separate doors</w:t>
      </w:r>
    </w:p>
    <w:p>
      <w:r>
        <w:t>People often use a shortcut: if a caregiver signs screening consent, everyone involved with the student can see the result. That rule of thumb does not hold here. The local form separates permission to administer from permission to disclose beyond the student-support team. Under Sheafield’s described process, raw answers are handled by the student-support team; broader sharing depends on the separate disclosure choice. That is a narrower, more useful question than asking whether the screening is simply confidential.</w:t>
      </w:r>
    </w:p>
    <w:p>
      <w:pPr>
        <w:pStyle w:val="Heading1"/>
        <w:spacing w:before="180" w:after="60"/>
      </w:pPr>
      <w:r>
        <w:t>Federal privacy rules set boundaries, not guarantees</w:t>
      </w:r>
    </w:p>
    <w:p>
      <w:r>
        <w:t>The Family Educational Rights and Privacy Act, or FERPA (20 U.S.C. §1232g; 34 C.F.R. Part 99), generally governs access to and disclosure of education records, subject to its defined exceptions. The U.S. Department of Education’s FERPA regulations describe rights and permitted disclosures; they do not turn every school record into an absolute secret. Ask Sheafield how the pilot’s form and local role-based access operate together. The Protection of Pupil Rights Amendment, or PPRA (20 U.S.C. §1232h; 34 C.F.R. Part 98), addresses certain student surveys and parent inspection or consent rights. Whether a particular question or disclosure falls within a rule depends on the facts and the school’s procedures, so this article does not offer an individualized legal conclusion.</w:t>
      </w:r>
    </w:p>
    <w:p>
      <w:pPr>
        <w:pStyle w:val="Heading1"/>
        <w:spacing w:before="180" w:after="60"/>
      </w:pPr>
      <w:r>
        <w:t>What happens after a concerning response</w:t>
      </w:r>
    </w:p>
    <w:p>
      <w:r>
        <w:t>The Follow-Up Protocol says a response that crosses the review threshold receives human review and routine follow-up within five school days. Crossing that line does not automatically produce a referral. Radulescu’s point about context is practical here: a professional may need to understand the student’s circumstances before deciding what conversation, if any, is appropriate. Routine follow-up is a process description, not a guarantee of treatment, a diagnosis, or an outcome, and it may not answer every concern a family has.</w:t>
      </w:r>
    </w:p>
    <w:p>
      <w:pPr>
        <w:pStyle w:val="Heading1"/>
        <w:spacing w:before="180" w:after="60"/>
      </w:pPr>
      <w:r>
        <w:t>Urgent safety is a different track</w:t>
      </w:r>
    </w:p>
    <w:p>
      <w:r>
        <w:t>The Protocol says an indication of immediate danger goes to the existing same-day crisis process. It does not wait in the routine five-school-day queue. If you are worried about immediate safety, do not wait for the questionnaire, a result, or a follow-up call. Sheafield’s notice directs immediate safety concerns away from the screening process. In Maryland, call 911 for an emergency; the federal 988 Suicide &amp; Crisis Lifeline is a crisis-support route for people who need immediate help but are not using it as a substitute for emergency response. Those routes are named here as general public authorities, not as a prediction about what your student needs.</w:t>
      </w:r>
    </w:p>
    <w:p>
      <w:pPr>
        <w:pStyle w:val="Heading1"/>
        <w:spacing w:before="180" w:after="60"/>
      </w:pPr>
      <w:r>
        <w:t>Make the decision workable</w:t>
      </w:r>
    </w:p>
    <w:p>
      <w:r>
        <w:t>Before September 26, put the program’s purpose, your student’s comfort, the privacy choices, and the follow-up pathway side by side. You might ask: What would we hope a conversation could clarify? What would my student want to ask? Am I comfortable with the student-support team receiving raw answers? Do I understand what the separate disclosure choice would permit? If a threshold is reached, can our family engage in routine follow-up within the stated process, while knowing that no result promises a service? A family can answer these questions differently from another family without either choice being a measure of care. You can also write down which box you are answering before you sign, so a later conversation starts with the same understanding of your permission.</w:t>
      </w:r>
    </w:p>
    <w:p>
      <w:pPr>
        <w:pStyle w:val="Heading1"/>
        <w:spacing w:before="180" w:after="60"/>
      </w:pPr>
      <w:r>
        <w:t>Use the information you can get</w:t>
      </w:r>
    </w:p>
    <w:p>
      <w:r>
        <w:t>Hana Radulescu and three other Sheafield school social workers are covering 3,200 eligible students before the consent deadline, according to the pilot’s supplied staffing figures. That workload means Sheafield cannot offer a textbook one-to-one pre-screening conference to every family. You can still sort your questions. General questions about the six items, dates, the form, language or communication access, or the pilot’s process can go to families@sheafield.example or your student’s school main office. Request language or communication access in a form your family can understand.</w:t>
      </w:r>
    </w:p>
    <w:p>
      <w:pPr>
        <w:pStyle w:val="Heading1"/>
        <w:spacing w:before="180" w:after="60"/>
      </w:pPr>
      <w:r>
        <w:t>Route the question that is yours</w:t>
      </w:r>
    </w:p>
    <w:p>
      <w:r>
        <w:t>If your question is about your child’s circumstances, a consent choice you cannot interpret, or a concern that remains unresolved after reading the notice and form, use those same general routes and identify that it is child-specific or consent-related. The article and the named documents can answer common program questions; school staff are the appropriate place to address facts that belong to your student. If the concern is immediate safety, use urgent help now rather than email or wait for the screening. This three-way sort—general information, child-specific or access questions, and immediate danger—keeps a limited staff resource focused without asking you to stay silent.</w:t>
      </w:r>
    </w:p>
    <w:p>
      <w:pPr>
        <w:pStyle w:val="Heading1"/>
        <w:spacing w:before="180" w:after="60"/>
      </w:pPr>
      <w:r>
        <w:t>A choice you can revisit in conversation</w:t>
      </w:r>
    </w:p>
    <w:p>
      <w:r>
        <w:t>A consent form records a decision for this pilot; it does not require you to pretend that uncertainty is gone. Talk with your student in age-appropriate language, listen for questions, and explain the difference between a brief check-in and a diagnosis. If you choose participation, your student may still decline on the day under the Notice. If you choose not to participate, the Notice says grades and access to existing student-support services do not change. Neither path promises that a future concern will be handled by this screening, and neither path defines your family’s values.</w:t>
      </w:r>
    </w:p>
    <w:p>
      <w:pPr>
        <w:pStyle w:val="Heading1"/>
        <w:spacing w:before="180" w:after="60"/>
      </w:pPr>
      <w:r>
        <w:t>The useful next step</w:t>
      </w:r>
    </w:p>
    <w:p>
      <w:r>
        <w:t>Mark September 26, read both choices on the Family Consent and Information-Sharing Form, and write down the one question that would change your understanding. Use families@sheafield.example or the school main office for a general, access, or child-specific question; do not route an immediate safety concern through the screening process. The most informed decision is the one you can explain in your own words: what the six questions may open up, what they cannot establish, who may receive the answers under each permission, and which help route fits the urgency. That explanation can guide your next conversation, whatever decision you make.</w:t>
      </w:r>
    </w:p>
    <w:p>
      <w:pPr>
        <w:pStyle w:val="Heading1"/>
        <w:spacing w:before="180" w:after="60"/>
      </w:pPr>
      <w:r>
        <w:t>Source note</w:t>
      </w:r>
    </w:p>
    <w:p>
      <w:r>
        <w:t>Program facts are drawn from Sheafield Holdings’ September 2025 Emotional Check-In Notice, Family Consent and Information-Sharing Form, and Follow-Up Protocol, plus attributed notes from Gerhard Lombardi, Hana Radulescu, and Darius Ekstrom. General legal framing is limited to the Family Educational Rights and Privacy Act (20 U.S.C. §1232g; 34 C.F.R. Part 99), the Protection of Pupil Rights Amendment (20 U.S.C. §1232h; 34 C.F.R. Part 98), and the federal 988 Suicide &amp; Crisis Lifeline guidance, as applicable in Maryland as of September 1, 2025. This is general caregiver information, not individualized legal, clinical, or emergency advice.</w:t>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7A"/>
        <w:sz w:val="16"/>
      </w:rPr>
      <w:t>ROOTSTOCK  |  SEPTEMBER 2025  •  Maryland caregiver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color w:val="2D35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34B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234B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B585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 Check-In Comes Home</dc:title>
  <dc:subject>Sheafield Holdings emotional screening pilot</dc:subject>
  <dc:creator>Renata Bruns</dc:creator>
  <cp:keywords/>
  <dc:description>generated by python-docx</dc:description>
  <cp:lastModifiedBy/>
  <cp:revision>1</cp:revision>
  <dcterms:created xsi:type="dcterms:W3CDTF">2013-12-23T23:15:00Z</dcterms:created>
  <dcterms:modified xsi:type="dcterms:W3CDTF">2013-12-23T23:15:00Z</dcterms:modified>
  <cp:category/>
</cp:coreProperties>
</file>