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Western town hall finance content map</w:t>
      </w:r>
    </w:p>
    <w:p>
      <w:r>
        <w:rPr>
          <w:color w:val="62728A"/>
          <w:sz w:val="18"/>
        </w:rPr>
        <w:t>Approved communications brief | Eight-slide financial section</w:t>
      </w:r>
    </w:p>
    <w:p>
      <w:r>
        <w:t>Use the investor-day exhibit family named below. All titles are fixed and must appear in this order. FY2024 and FY2025 are Actual; FY2026 is Forecast.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579B8"/>
          </w:tcPr>
          <w:p>
            <w:r>
              <w:t>Order</w:t>
            </w:r>
          </w:p>
        </w:tc>
        <w:tc>
          <w:tcPr>
            <w:tcW w:type="dxa" w:w="2074"/>
            <w:shd w:fill="1579B8"/>
          </w:tcPr>
          <w:p>
            <w:r>
              <w:t>Fixed title</w:t>
            </w:r>
          </w:p>
        </w:tc>
        <w:tc>
          <w:tcPr>
            <w:tcW w:type="dxa" w:w="2074"/>
            <w:shd w:fill="1579B8"/>
          </w:tcPr>
          <w:p>
            <w:r>
              <w:t>Exhibit family</w:t>
            </w:r>
          </w:p>
        </w:tc>
        <w:tc>
          <w:tcPr>
            <w:tcW w:type="dxa" w:w="2074"/>
            <w:shd w:fill="1579B8"/>
          </w:tcPr>
          <w:p>
            <w:r>
              <w:t>Required content / display units</w:t>
            </w:r>
          </w:p>
        </w:tc>
        <w:tc>
          <w:tcPr>
            <w:tcW w:type="dxa" w:w="2074"/>
            <w:shd w:fill="1579B8"/>
          </w:tcPr>
          <w:p>
            <w:r>
              <w:t>Required callout or note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Western region at a glance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Snapshot tiles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Revenue, operating expense, operating contribution ($m) and operating margin (%) for all three periods.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FY2026 Forecast label visible.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Revenue trend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Three-period trend bars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Regional revenue ($m) and FY2025 / FY2026 year-over-year movement.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Two-line factual callout for material forecast movement.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Operating expense trend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Three-period trend bars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Regional operating expense ($m), including calculated servicing expense; year-over-year movement.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Two-line factual callout for material forecast movement.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Contribution and margin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Paired contribution / margin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Operating contribution ($m) and operating margin (%) across all periods.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Two-line factual callout for material forecast change.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Customer balances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Paired balance comparison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Deposit and lending balances ($m), with FY2025 / FY2026 movements.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Two-line factual callout for material deposit or lending movement.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New accounts and servicing economics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Volume-and-rate exhibit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Individual opened accounts (whole accounts), approved per-account servicing rate ($) and servicing expense ($m).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State accounts, not packs; factual material-volume callout.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Branch footprint and productivity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Footprint / productivity exhibit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Distinct active branches, FTE and operating contribution per FTE ($m).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Include approved consolidation footnote and factual forecast callout.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FY2026 forecast outlook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Waterfall bridge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FY2025 actual operating contribution to FY2026 forecast operating contribution ($m), through supplied drivers.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Factual bridge reconciliation; Forecast label visible.</w:t>
            </w:r>
          </w:p>
        </w:tc>
      </w:tr>
    </w:tbl>
    <w:p>
      <w:pPr>
        <w:pStyle w:val="Heading1"/>
      </w:pPr>
      <w:r>
        <w:t>Treatment</w:t>
      </w:r>
    </w:p>
    <w:p>
      <w:r>
        <w:t>Use $m to two decimals unless stated otherwise. A material movement meets the finance metric standard. Use the template’s two-line callout panel; do not add recommendations, targets or causal claims. Put source notation in the investor-day footer style.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28A"/>
        <w:sz w:val="16"/>
      </w:rPr>
      <w:t>Sandpiper Field Services | Executive office approved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79B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1F3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