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rPr>
          <w:b/>
        </w:rPr>
        <w:t xml:space="preserve">TO  </w:t>
      </w:r>
      <w:r>
        <w:t>Dwayne Kirkbride, HR Director and Pharmacy Leadership</w:t>
      </w:r>
      <w:r>
        <w:rPr>
          <w:b/>
        </w:rPr>
        <w:t xml:space="preserve">     FROM  </w:t>
      </w:r>
      <w:r>
        <w:t>Perrine Aubuchon, Regional Compliance Pharmacist</w:t>
      </w:r>
      <w:r>
        <w:rPr>
          <w:b/>
        </w:rPr>
        <w:t xml:space="preserve">     DATE  </w:t>
      </w:r>
      <w:r>
        <w:t>August 25, 2026</w:t>
      </w:r>
    </w:p>
    <w:p>
      <w:pPr>
        <w:pStyle w:val="Title"/>
      </w:pPr>
      <w:r>
        <w:t>Store 19 vaccine-billing review: interim findings</w:t>
      </w:r>
    </w:p>
    <w:p>
      <w:r>
        <w:rPr>
          <w:b/>
        </w:rPr>
        <w:t xml:space="preserve">Decision purpose. </w:t>
      </w:r>
      <w:r>
        <w:t>A defensible eight-day assessment for the HR meeting; this is not a final misconduct determination.</w:t>
      </w:r>
    </w:p>
    <w:p>
      <w:pPr>
        <w:pStyle w:val="Heading1"/>
      </w:pPr>
      <w:r>
        <w:t>Overall interim finding</w:t>
      </w:r>
    </w:p>
    <w:p>
      <w:r>
        <w:rPr>
          <w:b/>
        </w:rPr>
        <w:t xml:space="preserve">Finding. </w:t>
      </w:r>
      <w:r>
        <w:t>The available fragments are most consistent with a meaningful breakdown in vaccine documentation and billing controls in the flagged Store 19 cohort, with a credible risk that some claims were submitted for doses not administered. That is the leading explanation because the anonymous allegation is now accompanied by independent registry, inventory, scheduling, and refund-control signals. It remains an interim finding: the fragments cannot establish that any particular vaccine was not given, that a claim was knowingly false, or who administered, entered, approved, or billed a transaction.</w:t>
      </w:r>
    </w:p>
    <w:p>
      <w:pPr>
        <w:pStyle w:val="Heading1"/>
      </w:pPr>
      <w:r>
        <w:t>Scope, periods, and observed comparison</w:t>
      </w:r>
    </w:p>
    <w:p>
      <w:r>
        <w:rPr>
          <w:b/>
        </w:rPr>
        <w:t xml:space="preserve">Incident period / cohort. </w:t>
      </w:r>
      <w:r>
        <w:t>For this assessment, the incident period is the service-date span represented by the 62 Store 19 flu and shingles claims in the current claims-to-registry exception extract, beginning with its first and ending with its last service date. The supplied fragments do not provide those dates, so the original extract must be retained and the dates confirmed; no dates are assumed here.</w:t>
      </w:r>
    </w:p>
    <w:p>
      <w:r>
        <w:rPr>
          <w:b/>
        </w:rPr>
        <w:t xml:space="preserve">Comparison period / cohort. </w:t>
      </w:r>
      <w:r>
        <w:t>The suitable comparison is the other Store 19 flu and shingles vaccination claims in that same service-date span that have a matching state-registry submission. It uses the same store, vaccine workflow, season, scheduling system, and billing process, avoiding an arbitrary earlier period or a different store. Its count and transaction detail have not been supplied.</w:t>
      </w:r>
    </w:p>
    <w:tbl>
      <w:tblPr>
        <w:tblW w:type="auto" w:w="0"/>
        <w:jc w:val="center"/>
        <w:tblLayout w:type="fixed"/>
        <w:tblLook w:firstColumn="1" w:firstRow="1" w:lastColumn="0" w:lastRow="0" w:noHBand="0" w:noVBand="1" w:val="04A0"/>
      </w:tblPr>
      <w:tblGrid>
        <w:gridCol w:w="3456"/>
        <w:gridCol w:w="3456"/>
        <w:gridCol w:w="3456"/>
      </w:tblGrid>
      <w:tr>
        <w:tc>
          <w:tcPr>
            <w:tcW w:type="dxa" w:w="3456"/>
            <w:shd w:fill="1F4E5F"/>
            <w:tcMar>
              <w:top w:w="70" w:type="dxa"/>
              <w:start w:w="85" w:type="dxa"/>
              <w:bottom w:w="70" w:type="dxa"/>
              <w:end w:w="85" w:type="dxa"/>
            </w:tcMar>
          </w:tcPr>
          <w:p>
            <w:r>
              <w:rPr>
                <w:b/>
                <w:color w:val="FFFFFF"/>
                <w:sz w:val="15"/>
              </w:rPr>
              <w:t>Measure</w:t>
            </w:r>
          </w:p>
        </w:tc>
        <w:tc>
          <w:tcPr>
            <w:tcW w:type="dxa" w:w="3456"/>
            <w:shd w:fill="1F4E5F"/>
            <w:tcMar>
              <w:top w:w="70" w:type="dxa"/>
              <w:start w:w="85" w:type="dxa"/>
              <w:bottom w:w="70" w:type="dxa"/>
              <w:end w:w="85" w:type="dxa"/>
            </w:tcMar>
          </w:tcPr>
          <w:p>
            <w:r>
              <w:rPr>
                <w:b/>
                <w:color w:val="FFFFFF"/>
                <w:sz w:val="15"/>
              </w:rPr>
              <w:t>Incident cohort</w:t>
            </w:r>
          </w:p>
        </w:tc>
        <w:tc>
          <w:tcPr>
            <w:tcW w:type="dxa" w:w="3456"/>
            <w:shd w:fill="1F4E5F"/>
            <w:tcMar>
              <w:top w:w="70" w:type="dxa"/>
              <w:start w:w="85" w:type="dxa"/>
              <w:bottom w:w="70" w:type="dxa"/>
              <w:end w:w="85" w:type="dxa"/>
            </w:tcMar>
          </w:tcPr>
          <w:p>
            <w:r>
              <w:rPr>
                <w:b/>
                <w:color w:val="FFFFFF"/>
                <w:sz w:val="15"/>
              </w:rPr>
              <w:t>Suitable comparison cohort</w:t>
            </w:r>
          </w:p>
        </w:tc>
      </w:tr>
      <w:tr>
        <w:tc>
          <w:tcPr>
            <w:tcW w:type="dxa" w:w="3456"/>
            <w:tcMar>
              <w:top w:w="70" w:type="dxa"/>
              <w:start w:w="85" w:type="dxa"/>
              <w:bottom w:w="70" w:type="dxa"/>
              <w:end w:w="85" w:type="dxa"/>
            </w:tcMar>
          </w:tcPr>
          <w:p>
            <w:r>
              <w:rPr>
                <w:sz w:val="15"/>
              </w:rPr>
              <w:t>Registry control</w:t>
            </w:r>
          </w:p>
        </w:tc>
        <w:tc>
          <w:tcPr>
            <w:tcW w:type="dxa" w:w="3456"/>
            <w:tcMar>
              <w:top w:w="70" w:type="dxa"/>
              <w:start w:w="85" w:type="dxa"/>
              <w:bottom w:w="70" w:type="dxa"/>
              <w:end w:w="85" w:type="dxa"/>
            </w:tcMar>
          </w:tcPr>
          <w:p>
            <w:r>
              <w:rPr>
                <w:sz w:val="15"/>
              </w:rPr>
              <w:t>62 claims lack a matching state registry submission.</w:t>
            </w:r>
          </w:p>
        </w:tc>
        <w:tc>
          <w:tcPr>
            <w:tcW w:type="dxa" w:w="3456"/>
            <w:tcMar>
              <w:top w:w="70" w:type="dxa"/>
              <w:start w:w="85" w:type="dxa"/>
              <w:bottom w:w="70" w:type="dxa"/>
              <w:end w:w="85" w:type="dxa"/>
            </w:tcMar>
          </w:tcPr>
          <w:p>
            <w:r>
              <w:rPr>
                <w:sz w:val="15"/>
              </w:rPr>
              <w:t>Matching registry submission; count and detail not supplied.</w:t>
            </w:r>
          </w:p>
        </w:tc>
      </w:tr>
      <w:tr>
        <w:tc>
          <w:tcPr>
            <w:tcW w:type="dxa" w:w="3456"/>
            <w:shd w:fill="EAF1F3"/>
            <w:tcMar>
              <w:top w:w="70" w:type="dxa"/>
              <w:start w:w="85" w:type="dxa"/>
              <w:bottom w:w="70" w:type="dxa"/>
              <w:end w:w="85" w:type="dxa"/>
            </w:tcMar>
          </w:tcPr>
          <w:p>
            <w:r>
              <w:rPr>
                <w:sz w:val="15"/>
              </w:rPr>
              <w:t>Operating pattern</w:t>
            </w:r>
          </w:p>
        </w:tc>
        <w:tc>
          <w:tcPr>
            <w:tcW w:type="dxa" w:w="3456"/>
            <w:shd w:fill="EAF1F3"/>
            <w:tcMar>
              <w:top w:w="70" w:type="dxa"/>
              <w:start w:w="85" w:type="dxa"/>
              <w:bottom w:w="70" w:type="dxa"/>
              <w:end w:w="85" w:type="dxa"/>
            </w:tcMar>
          </w:tcPr>
          <w:p>
            <w:r>
              <w:rPr>
                <w:sz w:val="15"/>
              </w:rPr>
              <w:t>Self-booked appointments cluster in the final 20 minutes before close.</w:t>
            </w:r>
          </w:p>
        </w:tc>
        <w:tc>
          <w:tcPr>
            <w:tcW w:type="dxa" w:w="3456"/>
            <w:shd w:fill="EAF1F3"/>
            <w:tcMar>
              <w:top w:w="70" w:type="dxa"/>
              <w:start w:w="85" w:type="dxa"/>
              <w:bottom w:w="70" w:type="dxa"/>
              <w:end w:w="85" w:type="dxa"/>
            </w:tcMar>
          </w:tcPr>
          <w:p>
            <w:r>
              <w:rPr>
                <w:sz w:val="15"/>
              </w:rPr>
              <w:t>Pattern must be measured from the retained scheduler export.</w:t>
            </w:r>
          </w:p>
        </w:tc>
      </w:tr>
      <w:tr>
        <w:tc>
          <w:tcPr>
            <w:tcW w:type="dxa" w:w="3456"/>
            <w:tcMar>
              <w:top w:w="70" w:type="dxa"/>
              <w:start w:w="85" w:type="dxa"/>
              <w:bottom w:w="70" w:type="dxa"/>
              <w:end w:w="85" w:type="dxa"/>
            </w:tcMar>
          </w:tcPr>
          <w:p>
            <w:r>
              <w:rPr>
                <w:sz w:val="15"/>
              </w:rPr>
              <w:t>Interpretation</w:t>
            </w:r>
          </w:p>
        </w:tc>
        <w:tc>
          <w:tcPr>
            <w:tcW w:type="dxa" w:w="3456"/>
            <w:tcMar>
              <w:top w:w="70" w:type="dxa"/>
              <w:start w:w="85" w:type="dxa"/>
              <w:bottom w:w="70" w:type="dxa"/>
              <w:end w:w="85" w:type="dxa"/>
            </w:tcMar>
          </w:tcPr>
          <w:p>
            <w:r>
              <w:rPr>
                <w:sz w:val="15"/>
              </w:rPr>
              <w:t>A concentrated exception cohort plus a 19-dose Shingrix shortage warrants targeted reconciliation.</w:t>
            </w:r>
          </w:p>
        </w:tc>
        <w:tc>
          <w:tcPr>
            <w:tcW w:type="dxa" w:w="3456"/>
            <w:tcMar>
              <w:top w:w="70" w:type="dxa"/>
              <w:start w:w="85" w:type="dxa"/>
              <w:bottom w:w="70" w:type="dxa"/>
              <w:end w:w="85" w:type="dxa"/>
            </w:tcMar>
          </w:tcPr>
          <w:p>
            <w:r>
              <w:rPr>
                <w:sz w:val="15"/>
              </w:rPr>
              <w:t>It is the baseline needed to test whether the pattern is unusual rather than merely busy workflow.</w:t>
            </w:r>
          </w:p>
        </w:tc>
      </w:tr>
    </w:tbl>
    <w:p>
      <w:r>
        <w:t>The material difference presently established is control performance: every identified incident-cohort claim is unmatched to a registry submission, while the defined comparator has a match. The late self-booking and inventory evidence are observed in the flagged review, not yet quantified in the comparator. That is enough to prioritize the review, but not to infer a rate increase or a staff member’s conduct.</w:t>
      </w:r>
    </w:p>
    <w:p>
      <w:pPr>
        <w:pStyle w:val="Heading1"/>
      </w:pPr>
      <w:r>
        <w:t>Evidence, inference, and what it does not prove</w:t>
      </w:r>
    </w:p>
    <w:p>
      <w:r>
        <w:rPr>
          <w:b/>
        </w:rPr>
        <w:t xml:space="preserve">Established observations. </w:t>
      </w:r>
      <w:r>
        <w:t>An anonymous two-sentence tip is an allegation and lead, not corroborated evidence by itself. Separately, 62 claims have no matching state registry submission. Shingrix on-hand inventory is short by 19 doses, and no wastage log was found. Self-booked appointments cluster in the final 20 minutes before close. Badge records place a float technician on shift for most, but not all, relevant appointments. One copay was refunded without a note, a separate control exception.</w:t>
      </w:r>
    </w:p>
    <w:p>
      <w:r>
        <w:rPr>
          <w:b/>
        </w:rPr>
        <w:t xml:space="preserve">Reasonable interpretation. </w:t>
      </w:r>
      <w:r>
        <w:t>The streams reinforce concern because they arise from different controls: public-health reporting, physical stock, scheduling, access, and payment handling. Missing registry submission is probative of a reporting/documentation failure, but is not proof that a vaccine was never administered; delayed or failed interface submission remains possible. A 19-dose shortage is likewise not proof of fraudulent billing. Administration, transfer, return, count error, or undocumented wastage could explain some or all of it; the missing wastage log makes that possibility important, not established. The closing-time pattern may reflect staffing or workflow and is corroborative rather than determinative. The unannotated refund warrants claim-level review but does not alone demonstrate a broader scheme.</w:t>
      </w:r>
    </w:p>
    <w:p>
      <w:r>
        <w:rPr>
          <w:b/>
        </w:rPr>
        <w:t xml:space="preserve">Attribution limit. </w:t>
      </w:r>
      <w:r>
        <w:t>A badge shows presence, not system use, physical administration, claim entry, approval, or intent. The float technician’s presence for most but not all appointments weakens any single-person theory. Credential audit trails may identify an account, but still require confirmation of who used it and under what supervision. The named HR roster (Ragnhild Toledano, Katarzyna Sepulveda, Solveig Karlsson, Hilde Hendricks, and Gerhard Jankowski) is relevant only for access review and fair interviews; this record does not identify any of them as responsible.</w:t>
      </w:r>
    </w:p>
    <w:p>
      <w:pPr>
        <w:pStyle w:val="Heading1"/>
      </w:pPr>
      <w:r>
        <w:t>Competing explanations and priority evidence</w:t>
      </w:r>
    </w:p>
    <w:p>
      <w:r>
        <w:rPr>
          <w:b/>
        </w:rPr>
        <w:t xml:space="preserve">The leading explanation is </w:t>
      </w:r>
      <w:r>
        <w:t>some billing for doses not administered, or billing unsupported by a documented administration. The registry exception concentration, unaccounted Shingrix stock, late self-booking pattern, and unexplained refund collectively make that more likely than a single isolated clerical miss. A substantial alternative remains: doses may have been administered but recorded under the wrong pharmacist credential or failed to reach the registry, while undocumented spoilage contributed to the inventory variance. It fits the same fragments and cannot be ruled out without source records.</w:t>
      </w:r>
    </w:p>
    <w:p>
      <w:r>
        <w:rPr>
          <w:b/>
        </w:rPr>
        <w:t xml:space="preserve">Highest-value next fact. </w:t>
      </w:r>
      <w:r>
        <w:t>First reconcile each of the 62 claims to the signed or retained administration record or consent, vaccine lot and dose record, claim adjudication detail, and the state-registry transmission or audit response. That transaction-level linkage would most change the finding because it tests administration and reporting separately. Next, reconcile receipt, transfer, return, and physical-count records to the 19 Shingrix doses; preserve the scheduler export, badge data, refund audit trail, credential/login history, and any wastage evidence. Conduct neutral, non-leading interviews only after preserving those records. These are prioritized tests, not a conclusion that records were altered.</w:t>
      </w:r>
    </w:p>
    <w:p>
      <w:pPr>
        <w:pStyle w:val="Heading1"/>
      </w:pPr>
      <w:r>
        <w:t>Ohio and Pennsylvania expectations: verification boundary</w:t>
      </w:r>
    </w:p>
    <w:p>
      <w:r>
        <w:rPr>
          <w:b/>
        </w:rPr>
        <w:t xml:space="preserve">Controlling law is not yet established. </w:t>
      </w:r>
      <w:r>
        <w:t>It depends on Store 19’s location, the administering pharmacist’s licensure and protocol, the payer and claim context, and where the transaction occurred. The following is a compliance screen, not a determination that either jurisdiction controls; Pharmacy Legal/Compliance should verify current requirements and payer contracts before any external action.</w:t>
      </w:r>
    </w:p>
    <w:tbl>
      <w:tblPr>
        <w:tblW w:type="auto" w:w="0"/>
        <w:jc w:val="center"/>
        <w:tblLayout w:type="fixed"/>
        <w:tblLook w:firstColumn="1" w:firstRow="1" w:lastColumn="0" w:lastRow="0" w:noHBand="0" w:noVBand="1" w:val="04A0"/>
      </w:tblPr>
      <w:tblGrid>
        <w:gridCol w:w="3456"/>
        <w:gridCol w:w="3456"/>
        <w:gridCol w:w="3456"/>
      </w:tblGrid>
      <w:tr>
        <w:tc>
          <w:tcPr>
            <w:tcW w:type="dxa" w:w="3456"/>
            <w:shd w:fill="1F4E5F"/>
            <w:tcMar>
              <w:top w:w="70" w:type="dxa"/>
              <w:start w:w="85" w:type="dxa"/>
              <w:bottom w:w="70" w:type="dxa"/>
              <w:end w:w="85" w:type="dxa"/>
            </w:tcMar>
          </w:tcPr>
          <w:p>
            <w:r>
              <w:rPr>
                <w:b/>
                <w:color w:val="FFFFFF"/>
                <w:sz w:val="14"/>
              </w:rPr>
              <w:t>Area</w:t>
            </w:r>
          </w:p>
        </w:tc>
        <w:tc>
          <w:tcPr>
            <w:tcW w:type="dxa" w:w="3456"/>
            <w:shd w:fill="1F4E5F"/>
            <w:tcMar>
              <w:top w:w="70" w:type="dxa"/>
              <w:start w:w="85" w:type="dxa"/>
              <w:bottom w:w="70" w:type="dxa"/>
              <w:end w:w="85" w:type="dxa"/>
            </w:tcMar>
          </w:tcPr>
          <w:p>
            <w:r>
              <w:rPr>
                <w:b/>
                <w:color w:val="FFFFFF"/>
                <w:sz w:val="14"/>
              </w:rPr>
              <w:t>Ohio</w:t>
            </w:r>
          </w:p>
        </w:tc>
        <w:tc>
          <w:tcPr>
            <w:tcW w:type="dxa" w:w="3456"/>
            <w:shd w:fill="1F4E5F"/>
            <w:tcMar>
              <w:top w:w="70" w:type="dxa"/>
              <w:start w:w="85" w:type="dxa"/>
              <w:bottom w:w="70" w:type="dxa"/>
              <w:end w:w="85" w:type="dxa"/>
            </w:tcMar>
          </w:tcPr>
          <w:p>
            <w:r>
              <w:rPr>
                <w:b/>
                <w:color w:val="FFFFFF"/>
                <w:sz w:val="14"/>
              </w:rPr>
              <w:t>Pennsylvania</w:t>
            </w:r>
          </w:p>
        </w:tc>
      </w:tr>
      <w:tr>
        <w:tc>
          <w:tcPr>
            <w:tcW w:type="dxa" w:w="3456"/>
            <w:tcMar>
              <w:top w:w="70" w:type="dxa"/>
              <w:start w:w="85" w:type="dxa"/>
              <w:bottom w:w="70" w:type="dxa"/>
              <w:end w:w="85" w:type="dxa"/>
            </w:tcMar>
          </w:tcPr>
          <w:p>
            <w:r>
              <w:rPr>
                <w:sz w:val="14"/>
              </w:rPr>
              <w:t>Administration &amp; record</w:t>
            </w:r>
          </w:p>
        </w:tc>
        <w:tc>
          <w:tcPr>
            <w:tcW w:type="dxa" w:w="3456"/>
            <w:tcMar>
              <w:top w:w="70" w:type="dxa"/>
              <w:start w:w="85" w:type="dxa"/>
              <w:bottom w:w="70" w:type="dxa"/>
              <w:end w:w="85" w:type="dxa"/>
            </w:tcMar>
          </w:tcPr>
          <w:p>
            <w:r>
              <w:rPr>
                <w:sz w:val="14"/>
              </w:rPr>
              <w:t>Pharmacist immunization authority, protocol, and administration record duties: Ohio Revised Code 4729.41 and Ohio Admin. Code 4729:5-5. Verify record fields, supervision/delegation, and retention.</w:t>
            </w:r>
          </w:p>
        </w:tc>
        <w:tc>
          <w:tcPr>
            <w:tcW w:type="dxa" w:w="3456"/>
            <w:tcMar>
              <w:top w:w="70" w:type="dxa"/>
              <w:start w:w="85" w:type="dxa"/>
              <w:bottom w:w="70" w:type="dxa"/>
              <w:end w:w="85" w:type="dxa"/>
            </w:tcMar>
          </w:tcPr>
          <w:p>
            <w:r>
              <w:rPr>
                <w:sz w:val="14"/>
              </w:rPr>
              <w:t>Pharmacist immunization authority and records: Pharmacy Act, 63 P.S. 390-9.1, and State Board rules. Verify current protocol, delegation/supervision, patient record, and retention requirements.</w:t>
            </w:r>
          </w:p>
        </w:tc>
      </w:tr>
      <w:tr>
        <w:tc>
          <w:tcPr>
            <w:tcW w:type="dxa" w:w="3456"/>
            <w:shd w:fill="EAF1F3"/>
            <w:tcMar>
              <w:top w:w="70" w:type="dxa"/>
              <w:start w:w="85" w:type="dxa"/>
              <w:bottom w:w="70" w:type="dxa"/>
              <w:end w:w="85" w:type="dxa"/>
            </w:tcMar>
          </w:tcPr>
          <w:p>
            <w:r>
              <w:rPr>
                <w:sz w:val="14"/>
              </w:rPr>
              <w:t>Registry &amp; billing</w:t>
            </w:r>
          </w:p>
        </w:tc>
        <w:tc>
          <w:tcPr>
            <w:tcW w:type="dxa" w:w="3456"/>
            <w:shd w:fill="EAF1F3"/>
            <w:tcMar>
              <w:top w:w="70" w:type="dxa"/>
              <w:start w:w="85" w:type="dxa"/>
              <w:bottom w:w="70" w:type="dxa"/>
              <w:end w:w="85" w:type="dxa"/>
            </w:tcMar>
          </w:tcPr>
          <w:p>
            <w:r>
              <w:rPr>
                <w:sz w:val="14"/>
              </w:rPr>
              <w:t>Verify Ohio ImpactSIIS reporting rules and timing under Ohio Department of Health authority, including O.R.C. 3701.23 and implementing rules. A claim must be supported by the actual, documented service and payer terms.</w:t>
            </w:r>
          </w:p>
        </w:tc>
        <w:tc>
          <w:tcPr>
            <w:tcW w:type="dxa" w:w="3456"/>
            <w:shd w:fill="EAF1F3"/>
            <w:tcMar>
              <w:top w:w="70" w:type="dxa"/>
              <w:start w:w="85" w:type="dxa"/>
              <w:bottom w:w="70" w:type="dxa"/>
              <w:end w:w="85" w:type="dxa"/>
            </w:tcMar>
          </w:tcPr>
          <w:p>
            <w:r>
              <w:rPr>
                <w:sz w:val="14"/>
              </w:rPr>
              <w:t>Verify PA-SIIS reporting applicability and timing with the Pennsylvania Department of Health and 28 Pa. Code ch. 27. A claim likewise requires an actual, documented service and payer terms.</w:t>
            </w:r>
          </w:p>
        </w:tc>
      </w:tr>
      <w:tr>
        <w:tc>
          <w:tcPr>
            <w:tcW w:type="dxa" w:w="3456"/>
            <w:tcMar>
              <w:top w:w="70" w:type="dxa"/>
              <w:start w:w="85" w:type="dxa"/>
              <w:bottom w:w="70" w:type="dxa"/>
              <w:end w:w="85" w:type="dxa"/>
            </w:tcMar>
          </w:tcPr>
          <w:p>
            <w:r>
              <w:rPr>
                <w:sz w:val="14"/>
              </w:rPr>
              <w:t>Why it matters here</w:t>
            </w:r>
          </w:p>
        </w:tc>
        <w:tc>
          <w:tcPr>
            <w:tcW w:type="dxa" w:w="3456"/>
            <w:tcMar>
              <w:top w:w="70" w:type="dxa"/>
              <w:start w:w="85" w:type="dxa"/>
              <w:bottom w:w="70" w:type="dxa"/>
              <w:end w:w="85" w:type="dxa"/>
            </w:tcMar>
          </w:tcPr>
          <w:p>
            <w:r>
              <w:rPr>
                <w:sz w:val="14"/>
              </w:rPr>
              <w:t>The registry comparison may reflect a reportable-event or transmission obligation; exact timing and exceptions must be confirmed.</w:t>
            </w:r>
          </w:p>
        </w:tc>
        <w:tc>
          <w:tcPr>
            <w:tcW w:type="dxa" w:w="3456"/>
            <w:tcMar>
              <w:top w:w="70" w:type="dxa"/>
              <w:start w:w="85" w:type="dxa"/>
              <w:bottom w:w="70" w:type="dxa"/>
              <w:end w:w="85" w:type="dxa"/>
            </w:tcMar>
          </w:tcPr>
          <w:p>
            <w:r>
              <w:rPr>
                <w:sz w:val="14"/>
              </w:rPr>
              <w:t>Registry participation, timing, and scope may differ; an Ohio-style assumption should not be imported into Pennsylvania. Both make contemporaneous administration and billing records central.</w:t>
            </w:r>
          </w:p>
        </w:tc>
      </w:tr>
    </w:tbl>
    <w:p>
      <w:r>
        <w:rPr>
          <w:b/>
        </w:rPr>
        <w:t xml:space="preserve">Must / should. </w:t>
      </w:r>
      <w:r>
        <w:t>Once jurisdiction and facts are verified, Hallowfield must meet the controlling vaccine-administration, recordkeeping, registry, billing, retention, and any triggered reporting obligations. The present internal review does not itself authorize disclosure to a regulator, payer, or law enforcement. Any external notification must follow verified facts, applicable law or contract, and Pharmacy Legal/Compliance direction. Hallowfield should now preserve relevant electronic and paper records, suspend routine deletion or alteration for the review population, and use a nonpunitive dual check before a flagged vaccine claim is released or a registry submission is corrected.</w:t>
      </w:r>
    </w:p>
    <w:p>
      <w:pPr>
        <w:pStyle w:val="Heading1"/>
      </w:pPr>
      <w:r>
        <w:t>Recommendation for the HR meeting</w:t>
      </w:r>
    </w:p>
    <w:p>
      <w:r>
        <w:rPr>
          <w:b/>
        </w:rPr>
        <w:t xml:space="preserve">Dwayne: </w:t>
      </w:r>
      <w:r>
        <w:t>authorize a time-limited, transaction-level reconciliation and interim dual verification for Store 19 flu and shingles claims, while preserving all relevant records and keeping the employment review fact-based. Do not make a discipline, attribution, repayment, or external-reporting decision at this meeting. The responsible decision now is to control ongoing documentation and billing risk, obtain the prioritized corroboration, and return for a final determination when the evidence can distinguish unadministered-dose billing from credential/reporting failure and undocumented spoilage.</w:t>
      </w:r>
    </w:p>
    <w:sectPr w:rsidR="00FC693F" w:rsidRPr="0006063C" w:rsidSect="00034616">
      <w:headerReference w:type="default" r:id="rId9"/>
      <w:footerReference w:type="default" r:id="rId10"/>
      <w:pgSz w:w="12240" w:h="15840"/>
      <w:pgMar w:top="792" w:right="936" w:bottom="792" w:left="936"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Confidential internal review  |  Store 19  |  Interim findings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b/>
        <w:color w:val="1F4E5F"/>
      </w:rPr>
      <w:t>HALLOWFIELD MARKETS  |  PHARMACY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1F4E5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F4E5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line="240" w:lineRule="auto"/>
    </w:pPr>
    <w:rPr>
      <w:rFonts w:ascii="Aptos" w:hAnsi="Aptos"/>
      <w:color w:val="5C5C5C"/>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