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Javier Oduya</w:t>
        <w:br/>
        <w:t>Conservator Handbook</w:t>
      </w:r>
    </w:p>
    <w:p>
      <w:pPr>
        <w:jc w:val="center"/>
      </w:pPr>
      <w:r>
        <w:rPr>
          <w:i/>
        </w:rPr>
        <w:t>Prepared for Ursula Laurent • Naledi Gauthier, Sandpiper Laboratories medical-legal partnership</w:t>
        <w:br/>
        <w:t>Commonwealth of Virginia law as of January 1, 2025</w:t>
      </w:r>
    </w:p>
    <w:p>
      <w:r>
        <w:rPr>
          <w:b/>
        </w:rPr>
        <w:t xml:space="preserve">Purpose. </w:t>
      </w:r>
      <w:r>
        <w:t>A first-use guide for managing Javier’s estate and preparing a recurring annual accounting. It is based only on virginia_conservatorship_authority.pdf; the court appointment and later orders control if more specific.</w:t>
      </w:r>
    </w:p>
    <w:tbl>
      <w:tblPr>
        <w:tblStyle w:val="TableGrid"/>
        <w:tblW w:type="auto" w:w="0"/>
        <w:jc w:val="center"/>
        <w:tblLayout w:type="fixed"/>
        <w:tblLook w:firstColumn="1" w:firstRow="1" w:lastColumn="0" w:lastRow="0" w:noHBand="0" w:noVBand="1" w:val="04A0"/>
      </w:tblPr>
      <w:tblGrid>
        <w:gridCol w:w="4824"/>
        <w:gridCol w:w="4824"/>
      </w:tblGrid>
      <w:tr>
        <w:tc>
          <w:tcPr>
            <w:tcW w:type="dxa" w:w="5184"/>
            <w:vAlign w:val="center"/>
          </w:tcPr>
          <w:p>
            <w:pPr>
              <w:spacing w:after="0"/>
            </w:pPr>
            <w:r>
              <w:rPr>
                <w:sz w:val="16"/>
              </w:rPr>
              <w:t>LEGAL REQUIREMENT</w:t>
              <w:br/>
              <w:t>The authority digest states what Virginia law requires. It cites statutes at the rule.</w:t>
            </w:r>
          </w:p>
        </w:tc>
        <w:tc>
          <w:tcPr>
            <w:tcW w:type="dxa" w:w="5184"/>
            <w:vAlign w:val="center"/>
          </w:tcPr>
          <w:p>
            <w:pPr>
              <w:spacing w:after="0"/>
            </w:pPr>
            <w:r>
              <w:rPr>
                <w:sz w:val="16"/>
              </w:rPr>
              <w:t>PRACTICAL SAFEGUARD</w:t>
              <w:br/>
              <w:t>A workflow suggestion that reduces error; it is not a new legal power.</w:t>
            </w:r>
          </w:p>
        </w:tc>
      </w:tr>
    </w:tbl>
    <w:p>
      <w:pPr>
        <w:pStyle w:val="Heading1"/>
      </w:pPr>
      <w:r>
        <w:t>1. Your role and the words we will use</w:t>
      </w:r>
    </w:p>
    <w:p>
      <w:r>
        <w:rPr>
          <w:b/>
        </w:rPr>
        <w:t xml:space="preserve">Rule — </w:t>
      </w:r>
      <w:r>
        <w:t>A conservator is a fiduciary managing Javier’s estate under the court appointment and Virginia law (Va. Code §§ 64.2-1200, 64.2-1205). This is not ownership of Javier’s property and does not give Ursula unlimited control over Javier’s identity or ordinary life decisions.</w:t>
      </w:r>
    </w:p>
    <w:p>
      <w:r>
        <w:rPr>
          <w:b/>
        </w:rPr>
        <w:t xml:space="preserve">Personal expenses (definition). </w:t>
      </w:r>
      <w:r>
        <w:t>In this handbook, “personal expenses” means Javier’s ordinary living or care costs—such as his rent, food, utilities, and prescriptions—when they are for Javier and documented. It never means Ursula’s household costs, her family’s costs, or a convenience purchase for her. Ursula’s own costs are not estate expenses unless a genuine, documented estate expense was paid by her and reimbursement is allowed under the authority.</w:t>
      </w:r>
    </w:p>
    <w:p>
      <w:pPr>
        <w:pStyle w:val="Heading1"/>
      </w:pPr>
      <w:r>
        <w:t>2. Keep money separate</w:t>
      </w:r>
    </w:p>
    <w:p>
      <w:r>
        <w:rPr>
          <w:b/>
        </w:rPr>
        <w:t xml:space="preserve">Rule — </w:t>
      </w:r>
      <w:r>
        <w:t>Keep Javier’s money in identifiable estate accounts and separate from Ursula’s funds (Va. Code §§ 64.2-1205, 64.2-1206). Commingling is a handling problem even if Ursula reimburses herself later; later repayment does not rewrite the original bank trail.</w:t>
      </w:r>
    </w:p>
    <w:p>
      <w:r>
        <w:rPr>
          <w:b/>
        </w:rPr>
        <w:t xml:space="preserve">Rent example. </w:t>
      </w:r>
      <w:r>
        <w:t>The workbook shows $1,200 February rent paid from Ursula’s personal account. It is a Javier expense, but it is marked Partial and “reimbursement held pending documentation.” Do not silently reimburse. Preserve the personal receipt, date, amount, purpose, and proof Javier’s estate benefited; record the event and handle any reimbursement only as a genuine estate expense with clear support and whatever authority the governing process requires (Va. Code §§ 64.2-1205, 64.2-1213).</w:t>
      </w:r>
    </w:p>
    <w:p>
      <w:r>
        <w:rPr>
          <w:b/>
        </w:rPr>
        <w:t xml:space="preserve">Safeguard. </w:t>
      </w:r>
      <w:r>
        <w:t>Use a separate account register, save monthly statements, and label every entry before moving money.</w:t>
      </w:r>
    </w:p>
    <w:p>
      <w:pPr>
        <w:pStyle w:val="Heading1"/>
      </w:pPr>
      <w:r>
        <w:t>3. Spend only for Javier or administration</w:t>
      </w:r>
    </w:p>
    <w:p>
      <w:r>
        <w:rPr>
          <w:b/>
        </w:rPr>
        <w:t xml:space="preserve">Rule — </w:t>
      </w:r>
      <w:r>
        <w:t>Disbursements must serve Javier or proper administration of his estate and have a traceable purpose (Va. Code §§ 64.2-1205, 64.2-1212). Prudence means preserving value, keeping reasonable liquidity for needs, and avoiding unnecessary risk; it does not authorize speculative investments, unsupported cash, personal purchases, or “because funds are available.” This is a standard, not investment advice.</w:t>
      </w:r>
    </w:p>
    <w:p>
      <w:r>
        <w:rPr>
          <w:b/>
        </w:rPr>
        <w:t xml:space="preserve">Gift to Javier’s daughter. </w:t>
      </w:r>
      <w:r>
        <w:t>A family relationship or good intention is not authority. Hold the proposed gift: make no transfer of money or property until the legally required prior court authority is obtained (Va. Code §§ 64.2-1205, 64.2-1208). Even if approved, report it accurately; approval never substitutes for records.</w:t>
      </w:r>
    </w:p>
    <w:p>
      <w:r>
        <w:rPr>
          <w:b/>
        </w:rPr>
        <w:t xml:space="preserve">Conflicts and cash. </w:t>
      </w:r>
      <w:r>
        <w:t>If a transaction benefits Ursula or a related person, stop and disclose the conflict before acting. For cash withdrawals/payments, record date, amount, recipient, purpose, and receipt or other proof; unsupported cash activity is an exception, not a shortcut.</w:t>
      </w:r>
    </w:p>
    <w:p>
      <w:pPr>
        <w:pStyle w:val="Heading1"/>
      </w:pPr>
      <w:r>
        <w:t>4. Record every receipt and transaction</w:t>
      </w:r>
    </w:p>
    <w:p>
      <w:r>
        <w:rPr>
          <w:b/>
        </w:rPr>
        <w:t xml:space="preserve">Rule — </w:t>
      </w:r>
      <w:r>
        <w:t>Keep complete records and vouchers available for review (Va. Code §§ 64.2-1209, 64.2-1212): bank statements, receipts, invoices, confirmations, lease or care papers, court papers, and reimbursement support. Store them by accounting period and transaction reference so another person can retrieve them.</w:t>
      </w:r>
    </w:p>
    <w:p>
      <w:r>
        <w:rPr>
          <w:b/>
        </w:rPr>
        <w:t xml:space="preserve">Classify correctly. </w:t>
      </w:r>
      <w:r>
        <w:t>Pension, interest, dividends, refunds, and other money received for Javier are estate receipts and need support. A refund that reverses a prior payment is an adjustment to that expense, not a brand-new source of wealth. A transfer between Javier’s own accounts is a transfer—not receipt or expense—and must be excluded from those totals. Never invent, backdate, or conceal a receipt, signature, authorization, or explanation.</w:t>
      </w:r>
    </w:p>
    <w:p>
      <w:pPr>
        <w:pStyle w:val="Heading1"/>
      </w:pPr>
      <w:r>
        <w:t>5. Annual accounting: the repeatable method</w:t>
      </w:r>
    </w:p>
    <w:p>
      <w:r>
        <w:rPr>
          <w:b/>
        </w:rPr>
        <w:t xml:space="preserve">Timing rule — </w:t>
      </w:r>
      <w:r>
        <w:t>The first account is generally due six months after qualification; later accounts are generally annual and due within four months after the period closes, subject to the Commissioner of Accounts/court instructions and any applicable extension procedure (Va. Code § 64.2-1210). Track the actual due date from your appointment and filing instructions; do not ignore an approaching deadline.</w:t>
      </w:r>
    </w:p>
    <w:p>
      <w:r>
        <w:rPr>
          <w:b/>
        </w:rPr>
        <w:t xml:space="preserve">What to report. </w:t>
      </w:r>
      <w:r>
        <w:t>For each required period, report the opening balance, receipts, disbursements, ending assets/balance, and supporting records. The basic check is: opening balance + receipts − disbursements = closing balance. Enter each transaction in the workbook; its formulas calculate totals and flag mismatches or partial support.</w:t>
      </w:r>
    </w:p>
    <w:p>
      <w:r>
        <w:rPr>
          <w:b/>
        </w:rPr>
        <w:t>Worked example (same rows and figures as Annual Accounting).</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Pr>
          <w:p>
            <w:r>
              <w:t>Item</w:t>
            </w:r>
          </w:p>
        </w:tc>
        <w:tc>
          <w:tcPr>
            <w:tcW w:type="dxa" w:w="2592"/>
          </w:tcPr>
          <w:p>
            <w:r>
              <w:t>Treatment</w:t>
            </w:r>
          </w:p>
        </w:tc>
        <w:tc>
          <w:tcPr>
            <w:tcW w:type="dxa" w:w="2592"/>
          </w:tcPr>
          <w:p>
            <w:r>
              <w:t>Amount</w:t>
            </w:r>
          </w:p>
        </w:tc>
        <w:tc>
          <w:tcPr>
            <w:tcW w:type="dxa" w:w="2592"/>
          </w:tcPr>
          <w:p>
            <w:r>
              <w:t>Support</w:t>
            </w:r>
          </w:p>
        </w:tc>
      </w:tr>
      <w:tr>
        <w:tc>
          <w:tcPr>
            <w:tcW w:type="dxa" w:w="2592"/>
          </w:tcPr>
          <w:p>
            <w:r>
              <w:t>Opening balance</w:t>
            </w:r>
          </w:p>
        </w:tc>
        <w:tc>
          <w:tcPr>
            <w:tcW w:type="dxa" w:w="2592"/>
          </w:tcPr>
          <w:p>
            <w:r>
              <w:t>Starting estate balance</w:t>
            </w:r>
          </w:p>
        </w:tc>
        <w:tc>
          <w:tcPr>
            <w:tcW w:type="dxa" w:w="2592"/>
          </w:tcPr>
          <w:p>
            <w:r>
              <w:t>$10,000.00</w:t>
            </w:r>
          </w:p>
        </w:tc>
        <w:tc>
          <w:tcPr>
            <w:tcW w:type="dxa" w:w="2592"/>
          </w:tcPr>
          <w:p>
            <w:r>
              <w:t>Bank record</w:t>
            </w:r>
          </w:p>
        </w:tc>
      </w:tr>
      <w:tr>
        <w:tc>
          <w:tcPr>
            <w:tcW w:type="dxa" w:w="2592"/>
          </w:tcPr>
          <w:p>
            <w:r>
              <w:t>Receipts</w:t>
            </w:r>
          </w:p>
        </w:tc>
        <w:tc>
          <w:tcPr>
            <w:tcW w:type="dxa" w:w="2592"/>
          </w:tcPr>
          <w:p>
            <w:r>
              <w:t>Pension $5,400 + interest $25 + refund adjustment $80</w:t>
            </w:r>
          </w:p>
        </w:tc>
        <w:tc>
          <w:tcPr>
            <w:tcW w:type="dxa" w:w="2592"/>
          </w:tcPr>
          <w:p>
            <w:r>
              <w:t>$5,505.00</w:t>
            </w:r>
          </w:p>
        </w:tc>
        <w:tc>
          <w:tcPr>
            <w:tcW w:type="dxa" w:w="2592"/>
          </w:tcPr>
          <w:p>
            <w:r>
              <w:t>Statements / refund letter</w:t>
            </w:r>
          </w:p>
        </w:tc>
      </w:tr>
      <w:tr>
        <w:tc>
          <w:tcPr>
            <w:tcW w:type="dxa" w:w="2592"/>
          </w:tcPr>
          <w:p>
            <w:r>
              <w:t>Disbursements</w:t>
            </w:r>
          </w:p>
        </w:tc>
        <w:tc>
          <w:tcPr>
            <w:tcW w:type="dxa" w:w="2592"/>
          </w:tcPr>
          <w:p>
            <w:r>
              <w:t>Rent Jan $1,200; rent Feb $1,200; prescriptions $320; rent May $1,200; rent Aug $1,200</w:t>
            </w:r>
          </w:p>
        </w:tc>
        <w:tc>
          <w:tcPr>
            <w:tcW w:type="dxa" w:w="2592"/>
          </w:tcPr>
          <w:p>
            <w:r>
              <w:t>$5,120.00</w:t>
            </w:r>
          </w:p>
        </w:tc>
        <w:tc>
          <w:tcPr>
            <w:tcW w:type="dxa" w:w="2592"/>
          </w:tcPr>
          <w:p>
            <w:r>
              <w:t>Statements, lease, invoices</w:t>
            </w:r>
          </w:p>
        </w:tc>
      </w:tr>
      <w:tr>
        <w:tc>
          <w:tcPr>
            <w:tcW w:type="dxa" w:w="2592"/>
          </w:tcPr>
          <w:p>
            <w:r>
              <w:t>Internal transfer</w:t>
            </w:r>
          </w:p>
        </w:tc>
        <w:tc>
          <w:tcPr>
            <w:tcW w:type="dxa" w:w="2592"/>
          </w:tcPr>
          <w:p>
            <w:r>
              <w:t>Checking → savings; excluded from totals</w:t>
            </w:r>
          </w:p>
        </w:tc>
        <w:tc>
          <w:tcPr>
            <w:tcW w:type="dxa" w:w="2592"/>
          </w:tcPr>
          <w:p>
            <w:r>
              <w:t>$500.00</w:t>
            </w:r>
          </w:p>
        </w:tc>
        <w:tc>
          <w:tcPr>
            <w:tcW w:type="dxa" w:w="2592"/>
          </w:tcPr>
          <w:p>
            <w:r>
              <w:t>Both account statements</w:t>
            </w:r>
          </w:p>
        </w:tc>
      </w:tr>
      <w:tr>
        <w:tc>
          <w:tcPr>
            <w:tcW w:type="dxa" w:w="2592"/>
          </w:tcPr>
          <w:p>
            <w:r>
              <w:t>Closing balance</w:t>
            </w:r>
          </w:p>
        </w:tc>
        <w:tc>
          <w:tcPr>
            <w:tcW w:type="dxa" w:w="2592"/>
          </w:tcPr>
          <w:p>
            <w:r>
              <w:t>10,000 + 5,505 − 5,120</w:t>
            </w:r>
          </w:p>
        </w:tc>
        <w:tc>
          <w:tcPr>
            <w:tcW w:type="dxa" w:w="2592"/>
          </w:tcPr>
          <w:p>
            <w:r>
              <w:t>$10,385.00</w:t>
            </w:r>
          </w:p>
        </w:tc>
        <w:tc>
          <w:tcPr>
            <w:tcW w:type="dxa" w:w="2592"/>
          </w:tcPr>
          <w:p>
            <w:r>
              <w:t>Reconcile to bank</w:t>
            </w:r>
          </w:p>
        </w:tc>
      </w:tr>
    </w:tbl>
    <w:p>
      <w:r>
        <w:t>The proposed gift is $0 because no transfer was made. The February rent paid personally remains a documented exception until handled through the proper reimbursement path; it is still included as a disbursement in this illustrative reconciliation only because the estate expense occurred and is disclosed.</w:t>
      </w:r>
    </w:p>
    <w:p>
      <w:pPr>
        <w:pStyle w:val="Heading1"/>
      </w:pPr>
      <w:r>
        <w:t>6. If something is missing or the deadline is near</w:t>
      </w:r>
    </w:p>
    <w:p>
      <w:r>
        <w:rPr>
          <w:b/>
        </w:rPr>
        <w:t xml:space="preserve">Contingency path. </w:t>
      </w:r>
      <w:r>
        <w:t>Do not guess. (1) Identify the exact transaction/period and missing item (statement, receipt, signature, or explanation). (2) Request it promptly and keep proof of the request. (3) Mark the workbook Support status as Partial, Missing, or Requested and explain the gap. (4) Before filing, disclose the unresolved item and contact the Commissioner of Accounts or court about the applicable extension or filing procedure (Va. Code §§ 64.2-1210, 64.2-1212). Never fabricate, backdate, conceal, or silently omit. A court approval request, if needed, is separate from and does not cure the recordkeeping duty.</w:t>
      </w:r>
    </w:p>
    <w:p>
      <w:pPr>
        <w:pStyle w:val="Heading1"/>
      </w:pPr>
      <w:r>
        <w:t>7. Pre-filing check — stop only when each answer is yes</w:t>
      </w:r>
    </w:p>
    <w:p>
      <w:pPr>
        <w:spacing w:after="20"/>
        <w:ind w:left="216"/>
      </w:pPr>
      <w:r>
        <w:rPr>
          <w:b/>
        </w:rPr>
        <w:t xml:space="preserve">☐ </w:t>
      </w:r>
      <w:r>
        <w:t>The accounting period and due date are written down from the appointment/instructions.</w:t>
      </w:r>
    </w:p>
    <w:p>
      <w:pPr>
        <w:spacing w:after="20"/>
        <w:ind w:left="216"/>
      </w:pPr>
      <w:r>
        <w:rPr>
          <w:b/>
        </w:rPr>
        <w:t xml:space="preserve">☐ </w:t>
      </w:r>
      <w:r>
        <w:t>Opening balance agrees to the prior closing balance and bank evidence.</w:t>
      </w:r>
    </w:p>
    <w:p>
      <w:pPr>
        <w:spacing w:after="20"/>
        <w:ind w:left="216"/>
      </w:pPr>
      <w:r>
        <w:rPr>
          <w:b/>
        </w:rPr>
        <w:t xml:space="preserve">☐ </w:t>
      </w:r>
      <w:r>
        <w:t>Every receipt and disbursement has date, amount, source/payee, purpose, and record status.</w:t>
      </w:r>
    </w:p>
    <w:p>
      <w:pPr>
        <w:spacing w:after="20"/>
        <w:ind w:left="216"/>
      </w:pPr>
      <w:r>
        <w:rPr>
          <w:b/>
        </w:rPr>
        <w:t xml:space="preserve">☐ </w:t>
      </w:r>
      <w:r>
        <w:t>Transfers between Javier accounts are labeled Transfer and excluded from totals.</w:t>
      </w:r>
    </w:p>
    <w:p>
      <w:pPr>
        <w:spacing w:after="20"/>
        <w:ind w:left="216"/>
      </w:pPr>
      <w:r>
        <w:rPr>
          <w:b/>
        </w:rPr>
        <w:t xml:space="preserve">☐ </w:t>
      </w:r>
      <w:r>
        <w:t>The formula reconciliation difference is $0.00 (status OK), or every exception is disclosed and addressed through the proper process.</w:t>
      </w:r>
    </w:p>
    <w:p>
      <w:pPr>
        <w:spacing w:after="20"/>
        <w:ind w:left="216"/>
      </w:pPr>
      <w:r>
        <w:rPr>
          <w:b/>
        </w:rPr>
        <w:t xml:space="preserve">☐ </w:t>
      </w:r>
      <w:r>
        <w:t>No personal expense of Ursula or her household is included; any reimbursement is genuine, documented, and authorized as required.</w:t>
      </w:r>
    </w:p>
    <w:p>
      <w:pPr>
        <w:spacing w:after="20"/>
        <w:ind w:left="216"/>
      </w:pPr>
      <w:r>
        <w:rPr>
          <w:b/>
        </w:rPr>
        <w:t xml:space="preserve">☐ </w:t>
      </w:r>
      <w:r>
        <w:t>The proposed daughter gift remains on hold unless prior court authority exists, and any approved transaction is reported.</w:t>
      </w:r>
    </w:p>
    <w:p>
      <w:pPr>
        <w:spacing w:after="20"/>
        <w:ind w:left="216"/>
      </w:pPr>
      <w:r>
        <w:rPr>
          <w:b/>
        </w:rPr>
        <w:t xml:space="preserve">☐ </w:t>
      </w:r>
      <w:r>
        <w:t>Statements, receipts, invoices, confirmations, court papers, and required signatures/certifications are retrievable; missing items are listed with follow-up proof.</w:t>
      </w:r>
    </w:p>
    <w:p>
      <w:pPr>
        <w:spacing w:after="20"/>
        <w:ind w:left="216"/>
      </w:pPr>
      <w:r>
        <w:rPr>
          <w:b/>
        </w:rPr>
        <w:t xml:space="preserve">☐ </w:t>
      </w:r>
      <w:r>
        <w:t>The account is truthful: nothing is invented, backdated, concealed, or silently omitted.</w:t>
      </w:r>
    </w:p>
    <w:p>
      <w:r>
        <w:t>Source: virginia_conservatorship_authority.pdf (Commonwealth of Virginia provisions, as of January 1, 2025). This guide does not provide tax advice, investment recommendations, system click-throughs, or advice about changing the appointment.</w:t>
      </w:r>
    </w:p>
    <w:sectPr w:rsidR="00FC693F" w:rsidRPr="0006063C" w:rsidSect="00034616">
      <w:footerReference w:type="default" r:id="rId9"/>
      <w:pgSz w:w="12240" w:h="15840"/>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Javier Oduya • Conservator Handbook | Confidential working aid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75B5"/>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